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
        <w:rPr>
          <w:sz w:val="22"/>
          <w:szCs w:val="22"/>
          <w:highlight w:val="white"/>
        </w:rPr>
      </w:r>
    </w:p>
    <w:p>
      <w:pPr>
        <w:rPr>
          <w:sz w:val="22"/>
          <w:szCs w:val="22"/>
          <w:highlight w:val="white"/>
        </w:rPr>
      </w:pP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p>
    <w:p>
      <w:pPr>
        <w:pStyle w:val="1167"/>
        <w:ind w:firstLine="0"/>
        <w:jc w:val="center"/>
        <w:rPr>
          <w:rFonts w:eastAsia="MS Mincho"/>
          <w:b/>
          <w:szCs w:val="28"/>
          <w:highlight w:val="white"/>
        </w:rPr>
      </w:pPr>
      <w:r>
        <w:rPr>
          <w:rFonts w:eastAsia="MS Mincho"/>
          <w:b/>
          <w:szCs w:val="28"/>
          <w:highlight w:val="white"/>
        </w:rPr>
      </w:r>
      <w:r>
        <w:rPr>
          <w:rFonts w:eastAsia="MS Mincho"/>
          <w:b/>
          <w:szCs w:val="28"/>
          <w:highlight w:val="white"/>
        </w:rPr>
      </w:r>
    </w:p>
    <w:p>
      <w:pPr>
        <w:pStyle w:val="1167"/>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p>
    <w:p>
      <w:pPr>
        <w:pStyle w:val="1167"/>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p>
    <w:p>
      <w:pPr>
        <w:pStyle w:val="1167"/>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t xml:space="preserve">ремонтных работ одного места повреждения на КЛ 10 </w:t>
      </w:r>
      <w:r>
        <w:rPr>
          <w:b/>
          <w:bCs/>
          <w:szCs w:val="28"/>
        </w:rPr>
        <w:t xml:space="preserve">кВ</w:t>
      </w:r>
      <w:r>
        <w:rPr>
          <w:b/>
          <w:bCs/>
          <w:szCs w:val="28"/>
        </w:rPr>
        <w:t xml:space="preserve"> </w:t>
      </w:r>
      <w:r>
        <w:rPr>
          <w:b/>
          <w:bCs/>
          <w:szCs w:val="28"/>
        </w:rPr>
        <w:t xml:space="preserve">фид</w:t>
      </w:r>
      <w:r>
        <w:rPr>
          <w:b/>
          <w:bCs/>
          <w:szCs w:val="28"/>
        </w:rPr>
        <w:t xml:space="preserve">. 12 Луч "А" от ПС 110 </w:t>
      </w:r>
      <w:r>
        <w:rPr>
          <w:b/>
          <w:bCs/>
          <w:szCs w:val="28"/>
        </w:rPr>
        <w:t xml:space="preserve">кВ</w:t>
      </w:r>
      <w:r>
        <w:rPr>
          <w:b/>
          <w:bCs/>
          <w:szCs w:val="28"/>
        </w:rPr>
        <w:t xml:space="preserve"> №701 «</w:t>
      </w:r>
      <w:r>
        <w:rPr>
          <w:b/>
          <w:bCs/>
          <w:szCs w:val="28"/>
        </w:rPr>
        <w:t xml:space="preserve">Сухарево</w:t>
      </w:r>
      <w:r>
        <w:rPr>
          <w:b/>
          <w:bCs/>
          <w:szCs w:val="28"/>
        </w:rPr>
        <w:t xml:space="preserve">». Выполнение работ осуществляется в отношении объекта, расположенного по адресу: 143122, Московская обл., Рузский район, кадастровый номер: 50:19:0000000:19098</w:t>
      </w:r>
      <w:r>
        <w:rPr>
          <w:b/>
          <w:bCs/>
          <w:szCs w:val="28"/>
        </w:rPr>
        <w:t xml:space="preserve"> </w:t>
      </w:r>
      <w:r>
        <w:rPr>
          <w:b/>
          <w:bCs/>
          <w:szCs w:val="24"/>
          <w:highlight w:val="white"/>
        </w:rPr>
        <w:t xml:space="preserve">нужд филиала ПАО «</w:t>
      </w:r>
      <w:r>
        <w:rPr>
          <w:b/>
          <w:bCs/>
          <w:szCs w:val="24"/>
          <w:highlight w:val="white"/>
        </w:rPr>
        <w:t xml:space="preserve">Россети</w:t>
      </w:r>
      <w:r>
        <w:rPr>
          <w:b/>
          <w:bCs/>
          <w:szCs w:val="24"/>
          <w:highlight w:val="white"/>
        </w:rPr>
        <w:t xml:space="preserve"> Московский регион» – </w:t>
      </w:r>
      <w:r>
        <w:rPr>
          <w:b/>
          <w:bCs/>
          <w:szCs w:val="24"/>
          <w:highlight w:val="white"/>
        </w:rPr>
        <w:t xml:space="preserve">Западные электрические сети.</w:t>
      </w:r>
      <w:r>
        <w:rPr>
          <w:b/>
          <w:bCs/>
          <w:highlight w:val="white"/>
        </w:rPr>
      </w:r>
    </w:p>
    <w:p>
      <w:pPr>
        <w:pStyle w:val="1167"/>
        <w:jc w:val="center"/>
        <w:rPr>
          <w:sz w:val="20"/>
          <w:highlight w:val="white"/>
        </w:rPr>
      </w:pP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p>
    <w:p>
      <w:pPr>
        <w:pStyle w:val="1179"/>
        <w:ind w:left="410"/>
        <w:jc w:val="left"/>
        <w:spacing w:line="240" w:lineRule="auto"/>
        <w:widowControl/>
        <w:tabs>
          <w:tab w:val="left" w:pos="9374" w:leader="dot"/>
        </w:tabs>
        <w:rPr>
          <w:rStyle w:val="1177"/>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77"/>
          <w:highlight w:val="white"/>
        </w:rPr>
      </w:r>
    </w:p>
    <w:p>
      <w:pPr>
        <w:jc w:val="center"/>
        <w:rPr>
          <w:b/>
          <w:bCs/>
          <w:sz w:val="26"/>
          <w:szCs w:val="26"/>
          <w:highlight w:val="white"/>
        </w:rPr>
      </w:pPr>
      <w:r/>
      <w:bookmarkStart w:id="1" w:name="_Toc341278316"/>
      <w:r/>
      <w:bookmarkStart w:id="2" w:name="_Toc319328703"/>
      <w:r/>
      <w:bookmarkEnd w:id="0"/>
      <w:r/>
      <w:bookmarkEnd w:id="1"/>
      <w:r/>
      <w:r>
        <w:rPr>
          <w:b/>
          <w:bCs/>
          <w:sz w:val="26"/>
          <w:szCs w:val="26"/>
          <w:highlight w:val="white"/>
        </w:rPr>
      </w:r>
    </w:p>
    <w:p>
      <w:pPr>
        <w:pStyle w:val="1147"/>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p>
    <w:p>
      <w:pPr>
        <w:rPr>
          <w:highlight w:val="white"/>
        </w:rPr>
      </w:pPr>
      <w:r>
        <w:rPr>
          <w:highlight w:val="white"/>
        </w:rPr>
      </w:r>
      <w:r>
        <w:rPr>
          <w:highlight w:val="white"/>
        </w:rPr>
      </w:r>
    </w:p>
    <w:p>
      <w:pPr>
        <w:pStyle w:val="1138"/>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1"/>
            <w:highlight w:val="white"/>
          </w:rPr>
          <w:t xml:space="preserve">ОБЩИЕ СВЕДЕНИЯ</w:t>
        </w:r>
        <w:r>
          <w:rPr>
            <w:rStyle w:val="1131"/>
            <w:highlight w:val="white"/>
            <w:lang w:val="en-US"/>
          </w:rPr>
          <w:t xml:space="preserve"> </w:t>
        </w:r>
        <w:r>
          <w:rPr>
            <w:rStyle w:val="1131"/>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
        <w:rPr>
          <w:rFonts w:ascii="Calibri" w:hAnsi="Calibri"/>
          <w:sz w:val="22"/>
          <w:szCs w:val="22"/>
          <w:highlight w:val="white"/>
        </w:rPr>
      </w:r>
    </w:p>
    <w:p>
      <w:pPr>
        <w:pStyle w:val="1139"/>
        <w:tabs>
          <w:tab w:val="right" w:pos="9838" w:leader="dot"/>
        </w:tabs>
        <w:rPr>
          <w:rFonts w:ascii="Calibri" w:hAnsi="Calibri"/>
          <w:sz w:val="22"/>
          <w:szCs w:val="22"/>
          <w:highlight w:val="white"/>
        </w:rPr>
      </w:pPr>
      <w:r/>
      <w:hyperlink w:tooltip="#_Toc128406161" w:anchor="_Toc128406161" w:history="1">
        <w:r>
          <w:rPr>
            <w:rStyle w:val="1131"/>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w:t>
        </w:r>
        <w:r>
          <w:rPr>
            <w:rStyle w:val="1131"/>
            <w:highlight w:val="white"/>
          </w:rPr>
          <w:t xml:space="preserve">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62" w:anchor="_Toc128406162" w:history="1">
        <w:r>
          <w:rPr>
            <w:rStyle w:val="1131"/>
            <w:highlight w:val="white"/>
          </w:rPr>
          <w:t xml:space="preserve">1.</w:t>
        </w:r>
        <w:r>
          <w:rPr>
            <w:rFonts w:ascii="Calibri" w:hAnsi="Calibri"/>
            <w:sz w:val="22"/>
            <w:szCs w:val="22"/>
            <w:highlight w:val="white"/>
          </w:rPr>
          <w:tab/>
        </w:r>
        <w:r>
          <w:rPr>
            <w:rStyle w:val="1131"/>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63" w:anchor="_Toc128406163" w:history="1">
        <w:r>
          <w:rPr>
            <w:rStyle w:val="1131"/>
            <w:highlight w:val="white"/>
          </w:rPr>
          <w:t xml:space="preserve">2.</w:t>
        </w:r>
        <w:r>
          <w:rPr>
            <w:rFonts w:ascii="Calibri" w:hAnsi="Calibri"/>
            <w:sz w:val="22"/>
            <w:szCs w:val="22"/>
            <w:highlight w:val="white"/>
          </w:rPr>
          <w:tab/>
        </w:r>
        <w:r>
          <w:rPr>
            <w:rStyle w:val="1131"/>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40"/>
        <w:tabs>
          <w:tab w:val="left" w:pos="1100" w:leader="none"/>
          <w:tab w:val="right" w:pos="9838" w:leader="dot"/>
        </w:tabs>
        <w:rPr>
          <w:rFonts w:ascii="Calibri" w:hAnsi="Calibri"/>
          <w:sz w:val="22"/>
          <w:szCs w:val="22"/>
          <w:highlight w:val="white"/>
        </w:rPr>
      </w:pPr>
      <w:r/>
      <w:hyperlink w:tooltip="#_Toc128406164" w:anchor="_Toc128406164" w:history="1">
        <w:r>
          <w:rPr>
            <w:rStyle w:val="1131"/>
            <w:highlight w:val="white"/>
          </w:rPr>
          <w:t xml:space="preserve">2.1.</w:t>
        </w:r>
        <w:r>
          <w:rPr>
            <w:rFonts w:ascii="Calibri" w:hAnsi="Calibri"/>
            <w:sz w:val="22"/>
            <w:szCs w:val="22"/>
            <w:highlight w:val="white"/>
          </w:rPr>
          <w:tab/>
        </w:r>
        <w:r>
          <w:rPr>
            <w:rStyle w:val="1131"/>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40"/>
        <w:tabs>
          <w:tab w:val="left" w:pos="1100" w:leader="none"/>
          <w:tab w:val="right" w:pos="9838" w:leader="dot"/>
        </w:tabs>
        <w:rPr>
          <w:rFonts w:ascii="Calibri" w:hAnsi="Calibri"/>
          <w:sz w:val="22"/>
          <w:szCs w:val="22"/>
          <w:highlight w:val="white"/>
        </w:rPr>
      </w:pPr>
      <w:r/>
      <w:hyperlink w:tooltip="#_Toc128406165" w:anchor="_Toc128406165" w:history="1">
        <w:r>
          <w:rPr>
            <w:rStyle w:val="1131"/>
            <w:highlight w:val="white"/>
          </w:rPr>
          <w:t xml:space="preserve">2.2.</w:t>
        </w:r>
        <w:r>
          <w:rPr>
            <w:rFonts w:ascii="Calibri" w:hAnsi="Calibri"/>
            <w:sz w:val="22"/>
            <w:szCs w:val="22"/>
            <w:highlight w:val="white"/>
          </w:rPr>
          <w:tab/>
        </w:r>
        <w:r>
          <w:rPr>
            <w:rStyle w:val="1131"/>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
        <w:rPr>
          <w:rFonts w:ascii="Calibri" w:hAnsi="Calibri"/>
          <w:sz w:val="22"/>
          <w:szCs w:val="22"/>
          <w:highlight w:val="white"/>
        </w:rPr>
      </w:r>
    </w:p>
    <w:p>
      <w:pPr>
        <w:pStyle w:val="1140"/>
        <w:tabs>
          <w:tab w:val="left" w:pos="1100" w:leader="none"/>
          <w:tab w:val="right" w:pos="9838" w:leader="dot"/>
        </w:tabs>
        <w:rPr>
          <w:rFonts w:ascii="Calibri" w:hAnsi="Calibri"/>
          <w:sz w:val="22"/>
          <w:szCs w:val="22"/>
          <w:highlight w:val="white"/>
        </w:rPr>
      </w:pPr>
      <w:r/>
      <w:hyperlink w:tooltip="#_Toc128406166" w:anchor="_Toc128406166" w:history="1">
        <w:r>
          <w:rPr>
            <w:rStyle w:val="1131"/>
            <w:highlight w:val="white"/>
          </w:rPr>
          <w:t xml:space="preserve">2.3.</w:t>
        </w:r>
        <w:r>
          <w:rPr>
            <w:rFonts w:ascii="Calibri" w:hAnsi="Calibri"/>
            <w:sz w:val="22"/>
            <w:szCs w:val="22"/>
            <w:highlight w:val="white"/>
          </w:rPr>
          <w:tab/>
        </w:r>
        <w:r>
          <w:rPr>
            <w:rStyle w:val="1131"/>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
        <w:rPr>
          <w:rFonts w:ascii="Calibri" w:hAnsi="Calibri"/>
          <w:sz w:val="22"/>
          <w:szCs w:val="22"/>
          <w:highlight w:val="white"/>
        </w:rPr>
      </w:r>
    </w:p>
    <w:p>
      <w:pPr>
        <w:pStyle w:val="1140"/>
        <w:tabs>
          <w:tab w:val="left" w:pos="1100" w:leader="none"/>
          <w:tab w:val="right" w:pos="9838" w:leader="dot"/>
        </w:tabs>
        <w:rPr>
          <w:rFonts w:ascii="Calibri" w:hAnsi="Calibri"/>
          <w:sz w:val="22"/>
          <w:szCs w:val="22"/>
          <w:highlight w:val="white"/>
        </w:rPr>
      </w:pPr>
      <w:r/>
      <w:hyperlink w:tooltip="#_Toc128406167" w:anchor="_Toc128406167" w:history="1">
        <w:r>
          <w:rPr>
            <w:rStyle w:val="1131"/>
            <w:highlight w:val="white"/>
          </w:rPr>
          <w:t xml:space="preserve">2.4.</w:t>
        </w:r>
        <w:r>
          <w:rPr>
            <w:rFonts w:ascii="Calibri" w:hAnsi="Calibri"/>
            <w:sz w:val="22"/>
            <w:szCs w:val="22"/>
            <w:highlight w:val="white"/>
          </w:rPr>
          <w:tab/>
        </w:r>
        <w:r>
          <w:rPr>
            <w:rStyle w:val="1131"/>
            <w:highlight w:val="white"/>
          </w:rPr>
          <w:t xml:space="preserve">Требования к валюте п</w:t>
        </w:r>
        <w:r>
          <w:rPr>
            <w:rStyle w:val="1131"/>
            <w:highlight w:val="white"/>
          </w:rPr>
          <w:t xml:space="preserve">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40"/>
        <w:tabs>
          <w:tab w:val="left" w:pos="1100" w:leader="none"/>
          <w:tab w:val="right" w:pos="9838" w:leader="dot"/>
        </w:tabs>
        <w:rPr>
          <w:rFonts w:ascii="Calibri" w:hAnsi="Calibri"/>
          <w:sz w:val="22"/>
          <w:szCs w:val="22"/>
          <w:highlight w:val="white"/>
        </w:rPr>
      </w:pPr>
      <w:r/>
      <w:hyperlink w:tooltip="#_Toc128406168" w:anchor="_Toc128406168" w:history="1">
        <w:r>
          <w:rPr>
            <w:rStyle w:val="1131"/>
            <w:highlight w:val="white"/>
          </w:rPr>
          <w:t xml:space="preserve">2.5.</w:t>
        </w:r>
        <w:r>
          <w:rPr>
            <w:rFonts w:ascii="Calibri" w:hAnsi="Calibri"/>
            <w:sz w:val="22"/>
            <w:szCs w:val="22"/>
            <w:highlight w:val="white"/>
          </w:rPr>
          <w:tab/>
        </w:r>
        <w:r>
          <w:rPr>
            <w:rStyle w:val="1131"/>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69" w:anchor="_Toc128406169" w:history="1">
        <w:r>
          <w:rPr>
            <w:rStyle w:val="1131"/>
            <w:highlight w:val="white"/>
          </w:rPr>
          <w:t xml:space="preserve">3.</w:t>
        </w:r>
        <w:r>
          <w:rPr>
            <w:rFonts w:ascii="Calibri" w:hAnsi="Calibri"/>
            <w:sz w:val="22"/>
            <w:szCs w:val="22"/>
            <w:highlight w:val="white"/>
          </w:rPr>
          <w:tab/>
        </w:r>
        <w:r>
          <w:rPr>
            <w:rStyle w:val="1131"/>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0" w:anchor="_Toc128406170" w:history="1">
        <w:r>
          <w:rPr>
            <w:rStyle w:val="1131"/>
            <w:highlight w:val="white"/>
          </w:rPr>
          <w:t xml:space="preserve">4.</w:t>
        </w:r>
        <w:r>
          <w:rPr>
            <w:rFonts w:ascii="Calibri" w:hAnsi="Calibri"/>
            <w:sz w:val="22"/>
            <w:szCs w:val="22"/>
            <w:highlight w:val="white"/>
          </w:rPr>
          <w:tab/>
        </w:r>
        <w:r>
          <w:rPr>
            <w:rStyle w:val="1131"/>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1" w:anchor="_Toc128406171" w:history="1">
        <w:r>
          <w:rPr>
            <w:rStyle w:val="1131"/>
            <w:highlight w:val="white"/>
          </w:rPr>
          <w:t xml:space="preserve">5.</w:t>
        </w:r>
        <w:r>
          <w:rPr>
            <w:rFonts w:ascii="Calibri" w:hAnsi="Calibri"/>
            <w:sz w:val="22"/>
            <w:szCs w:val="22"/>
            <w:highlight w:val="white"/>
          </w:rPr>
          <w:tab/>
        </w:r>
        <w:r>
          <w:rPr>
            <w:rStyle w:val="1131"/>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
        <w:rPr>
          <w:rFonts w:ascii="Calibri" w:hAnsi="Calibri"/>
          <w:sz w:val="22"/>
          <w:szCs w:val="22"/>
          <w:highlight w:val="white"/>
        </w:rPr>
      </w:r>
    </w:p>
    <w:p>
      <w:pPr>
        <w:pStyle w:val="1139"/>
        <w:tabs>
          <w:tab w:val="right" w:pos="9838" w:leader="dot"/>
        </w:tabs>
        <w:rPr>
          <w:rFonts w:ascii="Calibri" w:hAnsi="Calibri"/>
          <w:sz w:val="22"/>
          <w:szCs w:val="22"/>
          <w:highlight w:val="white"/>
        </w:rPr>
      </w:pPr>
      <w:r/>
      <w:hyperlink w:tooltip="#_Toc128406172" w:anchor="_Toc128406172" w:history="1">
        <w:r>
          <w:rPr>
            <w:rStyle w:val="1131"/>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3" w:anchor="_Toc128406173" w:history="1">
        <w:r>
          <w:rPr>
            <w:rStyle w:val="1131"/>
            <w:highlight w:val="white"/>
          </w:rPr>
          <w:t xml:space="preserve">1.</w:t>
        </w:r>
        <w:r>
          <w:rPr>
            <w:rFonts w:ascii="Calibri" w:hAnsi="Calibri"/>
            <w:sz w:val="22"/>
            <w:szCs w:val="22"/>
            <w:highlight w:val="white"/>
          </w:rPr>
          <w:tab/>
        </w:r>
        <w:r>
          <w:rPr>
            <w:rStyle w:val="1131"/>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4" w:anchor="_Toc128406174" w:history="1">
        <w:r>
          <w:rPr>
            <w:rStyle w:val="1131"/>
            <w:highlight w:val="white"/>
          </w:rPr>
          <w:t xml:space="preserve">2.</w:t>
        </w:r>
        <w:r>
          <w:rPr>
            <w:rFonts w:ascii="Calibri" w:hAnsi="Calibri"/>
            <w:sz w:val="22"/>
            <w:szCs w:val="22"/>
            <w:highlight w:val="white"/>
          </w:rPr>
          <w:tab/>
        </w:r>
        <w:r>
          <w:rPr>
            <w:rStyle w:val="1131"/>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5" w:anchor="_Toc128406175" w:history="1">
        <w:r>
          <w:rPr>
            <w:rStyle w:val="1131"/>
            <w:highlight w:val="white"/>
          </w:rPr>
          <w:t xml:space="preserve">3.</w:t>
        </w:r>
        <w:r>
          <w:rPr>
            <w:rFonts w:ascii="Calibri" w:hAnsi="Calibri"/>
            <w:sz w:val="22"/>
            <w:szCs w:val="22"/>
            <w:highlight w:val="white"/>
          </w:rPr>
          <w:tab/>
        </w:r>
        <w:r>
          <w:rPr>
            <w:rStyle w:val="1131"/>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w:instrText>
        </w:r>
        <w:r>
          <w:rPr>
            <w:highlight w:val="white"/>
          </w:rPr>
          <w:instrText xml:space="preserve">GEREF _Toc128406175 \h </w:instrText>
        </w:r>
        <w:r>
          <w:rPr>
            <w:highlight w:val="white"/>
          </w:rPr>
        </w:r>
        <w:r>
          <w:rPr>
            <w:highlight w:val="white"/>
          </w:rPr>
          <w:fldChar w:fldCharType="separate"/>
        </w:r>
        <w:r>
          <w:rPr>
            <w:highlight w:val="white"/>
          </w:rPr>
          <w:t xml:space="preserve">14</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6" w:anchor="_Toc128406176" w:history="1">
        <w:r>
          <w:rPr>
            <w:rStyle w:val="1131"/>
            <w:highlight w:val="white"/>
          </w:rPr>
          <w:t xml:space="preserve">4.</w:t>
        </w:r>
        <w:r>
          <w:rPr>
            <w:rFonts w:ascii="Calibri" w:hAnsi="Calibri"/>
            <w:sz w:val="22"/>
            <w:szCs w:val="22"/>
            <w:highlight w:val="white"/>
          </w:rPr>
          <w:tab/>
        </w:r>
        <w:r>
          <w:rPr>
            <w:rStyle w:val="1131"/>
            <w:highlight w:val="white"/>
          </w:rPr>
          <w:t xml:space="preserve">Процедура на понижение цены (переторжка) (ПОЛОЖЕНИЯ ДАННОГО РАЗДЕЛА ПРИМЕНЯЮТСЯ, В СЛУЧАЕ ЕСЛИ ДАННАЯ ПРОЦЕ</w:t>
        </w:r>
        <w:r>
          <w:rPr>
            <w:rStyle w:val="1131"/>
            <w:highlight w:val="white"/>
          </w:rPr>
          <w:t xml:space="preserve">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7" w:anchor="_Toc128406177" w:history="1">
        <w:r>
          <w:rPr>
            <w:rStyle w:val="1131"/>
            <w:highlight w:val="white"/>
          </w:rPr>
          <w:t xml:space="preserve">5.</w:t>
        </w:r>
        <w:r>
          <w:rPr>
            <w:rFonts w:ascii="Calibri" w:hAnsi="Calibri"/>
            <w:sz w:val="22"/>
            <w:szCs w:val="22"/>
            <w:highlight w:val="white"/>
          </w:rPr>
          <w:tab/>
        </w:r>
        <w:r>
          <w:rPr>
            <w:rStyle w:val="1131"/>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8" w:anchor="_Toc128406178" w:history="1">
        <w:r>
          <w:rPr>
            <w:rStyle w:val="1131"/>
            <w:highlight w:val="white"/>
          </w:rPr>
          <w:t xml:space="preserve">6.</w:t>
        </w:r>
        <w:r>
          <w:rPr>
            <w:rFonts w:ascii="Calibri" w:hAnsi="Calibri"/>
            <w:sz w:val="22"/>
            <w:szCs w:val="22"/>
            <w:highlight w:val="white"/>
          </w:rPr>
          <w:tab/>
        </w:r>
        <w:r>
          <w:rPr>
            <w:rStyle w:val="1131"/>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79" w:anchor="_Toc128406179" w:history="1">
        <w:r>
          <w:rPr>
            <w:rStyle w:val="1131"/>
            <w:highlight w:val="white"/>
          </w:rPr>
          <w:t xml:space="preserve">7.</w:t>
        </w:r>
        <w:r>
          <w:rPr>
            <w:rFonts w:ascii="Calibri" w:hAnsi="Calibri"/>
            <w:sz w:val="22"/>
            <w:szCs w:val="22"/>
            <w:highlight w:val="white"/>
          </w:rPr>
          <w:tab/>
        </w:r>
        <w:r>
          <w:rPr>
            <w:rStyle w:val="1131"/>
            <w:highlight w:val="white"/>
          </w:rPr>
          <w:t xml:space="preserve">Подписание Дого</w:t>
        </w:r>
        <w:r>
          <w:rPr>
            <w:rStyle w:val="1131"/>
            <w:highlight w:val="white"/>
          </w:rPr>
          <w:t xml:space="preserve">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80" w:anchor="_Toc128406180" w:history="1">
        <w:r>
          <w:rPr>
            <w:rStyle w:val="1131"/>
            <w:highlight w:val="white"/>
          </w:rPr>
          <w:t xml:space="preserve">8.</w:t>
        </w:r>
        <w:r>
          <w:rPr>
            <w:rFonts w:ascii="Calibri" w:hAnsi="Calibri"/>
            <w:sz w:val="22"/>
            <w:szCs w:val="22"/>
            <w:highlight w:val="white"/>
          </w:rPr>
          <w:tab/>
        </w:r>
        <w:r>
          <w:rPr>
            <w:rStyle w:val="1131"/>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
        <w:rPr>
          <w:rFonts w:ascii="Calibri" w:hAnsi="Calibri"/>
          <w:sz w:val="22"/>
          <w:szCs w:val="22"/>
          <w:highlight w:val="white"/>
        </w:rPr>
      </w:r>
    </w:p>
    <w:p>
      <w:pPr>
        <w:pStyle w:val="1139"/>
        <w:tabs>
          <w:tab w:val="left" w:pos="660" w:leader="none"/>
          <w:tab w:val="right" w:pos="9838" w:leader="dot"/>
        </w:tabs>
        <w:rPr>
          <w:rFonts w:ascii="Calibri" w:hAnsi="Calibri"/>
          <w:sz w:val="22"/>
          <w:szCs w:val="22"/>
          <w:highlight w:val="white"/>
        </w:rPr>
      </w:pPr>
      <w:r/>
      <w:hyperlink w:tooltip="#_Toc128406181" w:anchor="_Toc128406181" w:history="1">
        <w:r>
          <w:rPr>
            <w:rStyle w:val="1131"/>
            <w:highlight w:val="white"/>
          </w:rPr>
          <w:t xml:space="preserve">9.</w:t>
        </w:r>
        <w:r>
          <w:rPr>
            <w:rFonts w:ascii="Calibri" w:hAnsi="Calibri"/>
            <w:sz w:val="22"/>
            <w:szCs w:val="22"/>
            <w:highlight w:val="white"/>
          </w:rPr>
          <w:tab/>
        </w:r>
        <w:r>
          <w:rPr>
            <w:rStyle w:val="1131"/>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w:t>
        </w:r>
        <w:r>
          <w:rPr>
            <w:rStyle w:val="1131"/>
            <w:highlight w:val="white"/>
          </w:rPr>
          <w:t xml:space="preserve">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
        <w:rPr>
          <w:rFonts w:ascii="Calibri" w:hAnsi="Calibri"/>
          <w:sz w:val="22"/>
          <w:szCs w:val="22"/>
          <w:highlight w:val="white"/>
        </w:rPr>
      </w:r>
    </w:p>
    <w:p>
      <w:pPr>
        <w:pStyle w:val="1139"/>
        <w:tabs>
          <w:tab w:val="left" w:pos="880" w:leader="none"/>
          <w:tab w:val="right" w:pos="9838" w:leader="dot"/>
        </w:tabs>
        <w:rPr>
          <w:rFonts w:ascii="Calibri" w:hAnsi="Calibri"/>
          <w:sz w:val="22"/>
          <w:szCs w:val="22"/>
          <w:highlight w:val="white"/>
        </w:rPr>
      </w:pPr>
      <w:r/>
      <w:hyperlink w:tooltip="#_Toc191625440" w:anchor="_Toc191625440" w:history="1">
        <w:r>
          <w:rPr>
            <w:rStyle w:val="1131"/>
            <w:highlight w:val="white"/>
          </w:rPr>
          <w:t xml:space="preserve">10</w:t>
        </w:r>
        <w:r>
          <w:rPr>
            <w:rFonts w:ascii="Calibri" w:hAnsi="Calibri"/>
            <w:sz w:val="22"/>
            <w:szCs w:val="22"/>
            <w:highlight w:val="white"/>
          </w:rPr>
          <w:tab/>
        </w:r>
        <w:r>
          <w:rPr>
            <w:rStyle w:val="1131"/>
            <w:highlight w:val="white"/>
          </w:rPr>
          <w:t xml:space="preserve">И</w:t>
        </w:r>
        <w:r>
          <w:rPr>
            <w:rStyle w:val="1131"/>
            <w:highlight w:val="white"/>
          </w:rPr>
          <w:t xml:space="preserve">зменение и расторжение договора</w:t>
        </w:r>
        <w:r>
          <w:rPr>
            <w:highlight w:val="white"/>
          </w:rPr>
          <w:tab/>
        </w:r>
      </w:hyperlink>
      <w:r>
        <w:rPr>
          <w:highlight w:val="white"/>
        </w:rPr>
        <w:t xml:space="preserve">18</w:t>
      </w:r>
      <w:r>
        <w:rPr>
          <w:rFonts w:ascii="Calibri" w:hAnsi="Calibri"/>
          <w:sz w:val="22"/>
          <w:szCs w:val="22"/>
          <w:highlight w:val="white"/>
        </w:rPr>
      </w:r>
    </w:p>
    <w:p>
      <w:pPr>
        <w:pStyle w:val="1139"/>
        <w:tabs>
          <w:tab w:val="right" w:pos="9838" w:leader="dot"/>
        </w:tabs>
        <w:rPr>
          <w:highlight w:val="white"/>
        </w:rPr>
      </w:pPr>
      <w:r/>
      <w:hyperlink w:tooltip="#_Toc128406184" w:anchor="_Toc128406184" w:history="1">
        <w:r>
          <w:rPr>
            <w:rStyle w:val="1131"/>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p>
    <w:p>
      <w:pPr>
        <w:rPr>
          <w:highlight w:val="white"/>
        </w:rPr>
      </w:pP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
        <w:rPr>
          <w:b/>
          <w:bCs/>
          <w:sz w:val="32"/>
          <w:szCs w:val="32"/>
          <w:highlight w:val="white"/>
        </w:rPr>
      </w:r>
    </w:p>
    <w:p>
      <w:pPr>
        <w:pStyle w:val="1167"/>
        <w:ind w:left="6237" w:firstLine="0"/>
        <w:rPr>
          <w:rFonts w:eastAsia="MS Mincho"/>
          <w:szCs w:val="28"/>
          <w:highlight w:val="white"/>
        </w:rPr>
      </w:pP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w:t>
            </w:r>
            <w:r>
              <w:rPr>
                <w:highlight w:val="white"/>
              </w:rPr>
              <w:t xml:space="preserve">Россети</w:t>
            </w:r>
            <w:r>
              <w:rPr>
                <w:highlight w:val="white"/>
              </w:rPr>
              <w:t xml:space="preserve">», решение о присоединении к которому принято Советом директоров ПАО «</w:t>
            </w:r>
            <w:r>
              <w:rPr>
                <w:highlight w:val="white"/>
              </w:rPr>
              <w:t xml:space="preserve">Россети</w:t>
            </w:r>
            <w:r>
              <w:rPr>
                <w:highlight w:val="white"/>
              </w:rPr>
              <w:t xml:space="preserve"> Московский регион» (выписка из протокола заседания СД от 03.02.2023 №563 (далее - Положение о закупке).</w:t>
            </w:r>
            <w:bookmarkEnd w:id="11"/>
            <w:r/>
            <w:bookmarkEnd w:id="12"/>
            <w:r/>
            <w:bookmarkEnd w:id="13"/>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p>
        </w:tc>
        <w:tc>
          <w:tcPr>
            <w:tcW w:w="3306" w:type="pct"/>
            <w:vAlign w:val="center"/>
            <w:textDirection w:val="lrTb"/>
            <w:noWrap w:val="false"/>
          </w:tcPr>
          <w:p>
            <w:pPr>
              <w:jc w:val="both"/>
              <w:rPr>
                <w:highlight w:val="white"/>
              </w:rPr>
            </w:pPr>
            <w:r>
              <w:rPr>
                <w:highlight w:val="white"/>
              </w:rPr>
              <w:t xml:space="preserve">4</w:t>
            </w:r>
            <w:r>
              <w:rPr>
                <w:highlight w:val="white"/>
              </w:rPr>
              <w:t xml:space="preserve">258</w:t>
            </w:r>
            <w:r>
              <w:rPr>
                <w:highlight w:val="white"/>
              </w:rPr>
              <w:t xml:space="preserve">р от 08.07.2026</w:t>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p>
        </w:tc>
        <w:tc>
          <w:tcPr>
            <w:tcW w:w="1387" w:type="pct"/>
            <w:vAlign w:val="center"/>
            <w:textDirection w:val="lrTb"/>
            <w:noWrap w:val="false"/>
          </w:tcPr>
          <w:p>
            <w:pPr>
              <w:rPr>
                <w:highlight w:val="white"/>
              </w:rPr>
            </w:pPr>
            <w:r>
              <w:rPr>
                <w:highlight w:val="white"/>
              </w:rPr>
              <w:t xml:space="preserve">Способ осуществления закупки</w:t>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w:t>
            </w:r>
            <w:r>
              <w:rPr>
                <w:highlight w:val="white"/>
              </w:rPr>
              <w:t xml:space="preserve">тавку оборудования и материалов по объектам распределительных сетей ВЛ, КЛ 0,4/6/10/20 </w:t>
            </w:r>
            <w:r>
              <w:rPr>
                <w:highlight w:val="white"/>
              </w:rPr>
              <w:t xml:space="preserve">кВ</w:t>
            </w:r>
            <w:r>
              <w:rPr>
                <w:highlight w:val="white"/>
              </w:rPr>
              <w:t xml:space="preserve"> для нужд ЗЭС - филиала ПАО «</w:t>
            </w:r>
            <w:r>
              <w:rPr>
                <w:highlight w:val="white"/>
              </w:rPr>
              <w:t xml:space="preserve">Россети</w:t>
            </w:r>
            <w:r>
              <w:rPr>
                <w:highlight w:val="white"/>
              </w:rPr>
              <w:t xml:space="preserve"> Московский регион» (</w:t>
            </w:r>
            <w:r>
              <w:rPr>
                <w:b/>
                <w:highlight w:val="white"/>
              </w:rPr>
              <w:t xml:space="preserve">№32514779384</w:t>
            </w:r>
            <w:r>
              <w:rPr>
                <w:highlight w:val="white"/>
              </w:rPr>
              <w:t xml:space="preserve"> на </w:t>
            </w:r>
            <w:hyperlink r:id="rId19" w:tooltip="http://www.tender.lot-online.ru" w:history="1">
              <w:r>
                <w:rPr>
                  <w:rStyle w:val="1131"/>
                  <w:highlight w:val="white"/>
                </w:rPr>
                <w:t xml:space="preserve">www.</w:t>
              </w:r>
              <w:r>
                <w:rPr>
                  <w:rStyle w:val="1131"/>
                  <w:highlight w:val="white"/>
                  <w:lang w:val="en-US"/>
                </w:rPr>
                <w:t xml:space="preserve">tende</w:t>
              </w:r>
              <w:r>
                <w:rPr>
                  <w:rStyle w:val="1131"/>
                  <w:highlight w:val="white"/>
                  <w:lang w:val="en-US"/>
                </w:rPr>
                <w:t xml:space="preserve">r</w:t>
              </w:r>
              <w:r>
                <w:rPr>
                  <w:rStyle w:val="1131"/>
                  <w:highlight w:val="white"/>
                </w:rPr>
                <w:t xml:space="preserve">.</w:t>
              </w:r>
              <w:r>
                <w:rPr>
                  <w:rStyle w:val="1131"/>
                  <w:highlight w:val="white"/>
                  <w:lang w:val="en-US"/>
                </w:rPr>
                <w:t xml:space="preserve">lot</w:t>
              </w:r>
              <w:r>
                <w:rPr>
                  <w:rStyle w:val="1131"/>
                  <w:highlight w:val="white"/>
                </w:rPr>
                <w:t xml:space="preserve">-</w:t>
              </w:r>
              <w:r>
                <w:rPr>
                  <w:rStyle w:val="1131"/>
                  <w:highlight w:val="white"/>
                  <w:lang w:val="en-US"/>
                </w:rPr>
                <w:t xml:space="preserve">online</w:t>
              </w:r>
              <w:r>
                <w:rPr>
                  <w:rStyle w:val="1131"/>
                  <w:highlight w:val="white"/>
                </w:rPr>
                <w:t xml:space="preserve">.</w:t>
              </w:r>
              <w:r>
                <w:rPr>
                  <w:rStyle w:val="1131"/>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p>
          <w:p>
            <w:pPr>
              <w:jc w:val="both"/>
              <w:rPr>
                <w:highlight w:val="white"/>
              </w:rPr>
            </w:pPr>
            <w:r>
              <w:rPr>
                <w:highlight w:val="white"/>
              </w:rPr>
              <w:t xml:space="preserve">ПАО «</w:t>
            </w:r>
            <w:r>
              <w:rPr>
                <w:highlight w:val="white"/>
              </w:rPr>
              <w:t xml:space="preserve">Россети</w:t>
            </w:r>
            <w:r>
              <w:rPr>
                <w:highlight w:val="white"/>
              </w:rPr>
              <w:t xml:space="preserve"> Московский регион».</w:t>
            </w:r>
            <w:r>
              <w:rPr>
                <w:highlight w:val="white"/>
              </w:rPr>
            </w:r>
          </w:p>
          <w:p>
            <w:pPr>
              <w:jc w:val="both"/>
              <w:rPr>
                <w:highlight w:val="white"/>
              </w:rPr>
            </w:pPr>
            <w:r>
              <w:rPr>
                <w:highlight w:val="white"/>
              </w:rPr>
              <w:t xml:space="preserve">Юридический адрес: 115114, г. Москва, 2-й Павелецкий проезд, д.3, стр.2.</w:t>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p>
          <w:p>
            <w:pPr>
              <w:jc w:val="both"/>
              <w:rPr>
                <w:highlight w:val="white"/>
              </w:rPr>
            </w:pPr>
            <w:r>
              <w:rPr>
                <w:highlight w:val="white"/>
              </w:rPr>
              <w:t xml:space="preserve">Почтовый адрес: 11511</w:t>
            </w:r>
            <w:r>
              <w:rPr>
                <w:highlight w:val="white"/>
              </w:rPr>
              <w:t xml:space="preserve">4, г. Москва, 2-й Павелецкий проезд, д.3, стр.2.</w:t>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1"/>
                  <w:highlight w:val="white"/>
                  <w:lang w:val="en-US"/>
                </w:rPr>
                <w:t xml:space="preserve">client</w:t>
              </w:r>
              <w:r>
                <w:rPr>
                  <w:rStyle w:val="1131"/>
                  <w:highlight w:val="white"/>
                </w:rPr>
                <w:t xml:space="preserve">@</w:t>
              </w:r>
              <w:r>
                <w:rPr>
                  <w:rStyle w:val="1131"/>
                  <w:highlight w:val="white"/>
                  <w:lang w:val="en-US"/>
                </w:rPr>
                <w:t xml:space="preserve">rossetimr</w:t>
              </w:r>
              <w:r>
                <w:rPr>
                  <w:rStyle w:val="1131"/>
                  <w:highlight w:val="white"/>
                </w:rPr>
                <w:t xml:space="preserve">.</w:t>
              </w:r>
              <w:r>
                <w:rPr>
                  <w:rStyle w:val="1131"/>
                  <w:highlight w:val="white"/>
                  <w:lang w:val="en-US"/>
                </w:rPr>
                <w:t xml:space="preserve">ru</w:t>
              </w:r>
            </w:hyperlink>
            <w:r/>
            <w:r>
              <w:rPr>
                <w:highlight w:val="white"/>
              </w:rPr>
            </w:r>
          </w:p>
          <w:p>
            <w:pPr>
              <w:jc w:val="both"/>
              <w:rPr>
                <w:highlight w:val="white"/>
              </w:rPr>
            </w:pPr>
            <w:r>
              <w:rPr>
                <w:highlight w:val="white"/>
              </w:rPr>
              <w:t xml:space="preserve">Телефон: (495) 662-40-70.</w:t>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r>
            <w:r>
              <w:rPr>
                <w:highlight w:val="white"/>
              </w:rPr>
              <w:t xml:space="preserve">ПАО «</w:t>
            </w:r>
            <w:r>
              <w:rPr>
                <w:highlight w:val="white"/>
              </w:rPr>
              <w:t xml:space="preserve">Рос</w:t>
            </w:r>
            <w:r>
              <w:rPr>
                <w:highlight w:val="white"/>
              </w:rPr>
              <w:t xml:space="preserve">сети</w:t>
            </w:r>
            <w:r>
              <w:rPr>
                <w:highlight w:val="white"/>
              </w:rPr>
              <w:t xml:space="preserve"> Московский регион» – Западные электрические сети.</w:t>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p>
          <w:p>
            <w:pPr>
              <w:jc w:val="both"/>
              <w:rPr>
                <w:highlight w:val="white"/>
              </w:rPr>
            </w:pPr>
            <w:r>
              <w:rPr>
                <w:highlight w:val="white"/>
              </w:rPr>
              <w:t xml:space="preserve">Контактные лица Организатора: </w:t>
            </w:r>
            <w:r>
              <w:rPr>
                <w:highlight w:val="white"/>
              </w:rPr>
            </w:r>
          </w:p>
          <w:p>
            <w:pPr>
              <w:jc w:val="both"/>
              <w:rPr>
                <w:highlight w:val="white"/>
              </w:rPr>
            </w:pPr>
            <w:r>
              <w:rPr>
                <w:highlight w:val="white"/>
              </w:rPr>
              <w:t xml:space="preserve">1) Медникова Алла Юрьевна</w:t>
            </w:r>
            <w:r>
              <w:rPr>
                <w:highlight w:val="white"/>
              </w:rPr>
              <w:t xml:space="preserve"> – ведущий</w:t>
            </w:r>
            <w:r>
              <w:rPr>
                <w:highlight w:val="white"/>
              </w:rPr>
              <w:t xml:space="preserve"> специалист </w:t>
            </w:r>
            <w:r>
              <w:rPr>
                <w:highlight w:val="white"/>
              </w:rPr>
              <w:br/>
            </w:r>
            <w:r>
              <w:rPr>
                <w:highlight w:val="white"/>
              </w:rPr>
              <w:t xml:space="preserve">сектора по организации закупок филиала ПАО «</w:t>
            </w:r>
            <w:r>
              <w:rPr>
                <w:highlight w:val="white"/>
              </w:rPr>
              <w:t xml:space="preserve">Россети</w:t>
            </w:r>
            <w:r>
              <w:rPr>
                <w:highlight w:val="white"/>
              </w:rPr>
              <w:t xml:space="preserve"> Московский регион» – Западные электрические сети </w:t>
            </w:r>
            <w:r>
              <w:rPr>
                <w:highlight w:val="white"/>
              </w:rPr>
              <w:br w:type="textWrapping" w:clear="all"/>
            </w:r>
            <w:r>
              <w:rPr>
                <w:highlight w:val="white"/>
              </w:rPr>
              <w:t xml:space="preserve">(Секретарь комиссии), Адрес электронной почты: </w:t>
            </w:r>
            <w:r>
              <w:rPr>
                <w:color w:val="0000ff"/>
                <w:highlight w:val="white"/>
                <w:lang w:val="en-US"/>
              </w:rPr>
              <w:t xml:space="preserve">MednikovaAY</w:t>
            </w:r>
            <w:r>
              <w:rPr>
                <w:color w:val="0000ff"/>
                <w:highlight w:val="white"/>
              </w:rPr>
              <w:t xml:space="preserve">@rossetimr.ru</w:t>
            </w:r>
            <w:r>
              <w:rPr>
                <w:highlight w:val="white"/>
              </w:rPr>
              <w:t xml:space="preserve">, телефон: (495) 525-73-00 (доб. 20-</w:t>
            </w:r>
            <w:r>
              <w:rPr>
                <w:highlight w:val="white"/>
                <w:lang w:val="en-US"/>
              </w:rPr>
              <w:t xml:space="preserve">66</w:t>
            </w:r>
            <w:bookmarkStart w:id="15" w:name="_GoBack"/>
            <w:r/>
            <w:bookmarkEnd w:id="15"/>
            <w:r>
              <w:rPr>
                <w:highlight w:val="white"/>
              </w:rPr>
              <w:t xml:space="preserve">).</w:t>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1"/>
                  <w:highlight w:val="white"/>
                </w:rPr>
                <w:t xml:space="preserve">www.</w:t>
              </w:r>
              <w:r>
                <w:rPr>
                  <w:rStyle w:val="1131"/>
                  <w:highlight w:val="white"/>
                  <w:lang w:val="en-US"/>
                </w:rPr>
                <w:t xml:space="preserve">tender</w:t>
              </w:r>
              <w:r>
                <w:rPr>
                  <w:rStyle w:val="1131"/>
                  <w:highlight w:val="white"/>
                </w:rPr>
                <w:t xml:space="preserve">.</w:t>
              </w:r>
              <w:r>
                <w:rPr>
                  <w:rStyle w:val="1131"/>
                  <w:highlight w:val="white"/>
                  <w:lang w:val="en-US"/>
                </w:rPr>
                <w:t xml:space="preserve">lot</w:t>
              </w:r>
              <w:r>
                <w:rPr>
                  <w:rStyle w:val="1131"/>
                  <w:highlight w:val="white"/>
                </w:rPr>
                <w:t xml:space="preserve">-</w:t>
              </w:r>
              <w:r>
                <w:rPr>
                  <w:rStyle w:val="1131"/>
                  <w:highlight w:val="white"/>
                  <w:lang w:val="en-US"/>
                </w:rPr>
                <w:t xml:space="preserve">online</w:t>
              </w:r>
              <w:r>
                <w:rPr>
                  <w:rStyle w:val="1131"/>
                  <w:highlight w:val="white"/>
                </w:rPr>
                <w:t xml:space="preserve">.</w:t>
              </w:r>
              <w:r>
                <w:rPr>
                  <w:rStyle w:val="1131"/>
                  <w:highlight w:val="white"/>
                </w:rPr>
                <w:t xml:space="preserve">ru</w:t>
              </w:r>
            </w:hyperlink>
            <w:r>
              <w:rPr>
                <w:highlight w:val="white"/>
              </w:rPr>
              <w:t xml:space="preserve"> </w:t>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p>
        </w:tc>
        <w:tc>
          <w:tcPr>
            <w:tcW w:w="3306" w:type="pct"/>
            <w:vAlign w:val="center"/>
            <w:textDirection w:val="lrTb"/>
            <w:noWrap w:val="false"/>
          </w:tcPr>
          <w:p>
            <w:pPr>
              <w:jc w:val="both"/>
              <w:rPr>
                <w:b/>
                <w:bCs/>
                <w:highlight w:val="white"/>
              </w:rPr>
            </w:pPr>
            <w:r>
              <w:rPr>
                <w:b/>
                <w:highlight w:val="white"/>
              </w:rPr>
              <w:t xml:space="preserve">Выполнение </w:t>
            </w:r>
            <w:r>
              <w:rPr>
                <w:b/>
                <w:bCs/>
              </w:rPr>
              <w:t xml:space="preserve">ремонтных работ одного места повреждения на КЛ 10 </w:t>
            </w:r>
            <w:r>
              <w:rPr>
                <w:b/>
                <w:bCs/>
              </w:rPr>
              <w:t xml:space="preserve">кВ</w:t>
            </w:r>
            <w:r>
              <w:rPr>
                <w:b/>
                <w:bCs/>
              </w:rPr>
              <w:t xml:space="preserve"> </w:t>
            </w:r>
            <w:r>
              <w:rPr>
                <w:b/>
                <w:bCs/>
              </w:rPr>
              <w:t xml:space="preserve">фид</w:t>
            </w:r>
            <w:r>
              <w:rPr>
                <w:b/>
                <w:bCs/>
              </w:rPr>
              <w:t xml:space="preserve">. 12 Луч "А" от ПС 110 </w:t>
            </w:r>
            <w:r>
              <w:rPr>
                <w:b/>
                <w:bCs/>
              </w:rPr>
              <w:t xml:space="preserve">кВ</w:t>
            </w:r>
            <w:r>
              <w:rPr>
                <w:b/>
                <w:bCs/>
              </w:rPr>
              <w:t xml:space="preserve"> №701 «</w:t>
            </w:r>
            <w:r>
              <w:rPr>
                <w:b/>
                <w:bCs/>
              </w:rPr>
              <w:t xml:space="preserve">Сухарево</w:t>
            </w:r>
            <w:r>
              <w:rPr>
                <w:b/>
                <w:bCs/>
              </w:rPr>
              <w:t xml:space="preserve">». Выполнение работ осуществляется в отношении объекта, расположенного по адресу: 143122, Московская обл., Рузский район, кадастровый номер: 50:19:0000000:19098</w:t>
            </w:r>
            <w:r>
              <w:rPr>
                <w:b/>
                <w:bCs/>
              </w:rPr>
              <w:t xml:space="preserve"> </w:t>
            </w:r>
            <w:r>
              <w:rPr>
                <w:bCs/>
                <w:highlight w:val="white"/>
              </w:rPr>
              <w:t xml:space="preserve">для нужд филиала ПАО «</w:t>
            </w:r>
            <w:r>
              <w:rPr>
                <w:bCs/>
                <w:highlight w:val="white"/>
              </w:rPr>
              <w:t xml:space="preserve">Россети</w:t>
            </w:r>
            <w:r>
              <w:rPr>
                <w:bCs/>
                <w:highlight w:val="white"/>
              </w:rPr>
              <w:t xml:space="preserve"> Московский регион» – Западные электрические сети.</w:t>
            </w:r>
            <w:r>
              <w:rPr>
                <w:b/>
                <w:bCs/>
                <w:highlight w:val="white"/>
              </w:rPr>
            </w:r>
          </w:p>
          <w:p>
            <w:pPr>
              <w:jc w:val="both"/>
              <w:rPr>
                <w:highlight w:val="white"/>
              </w:rPr>
            </w:pPr>
            <w:r>
              <w:rPr>
                <w:highlight w:val="white"/>
              </w:rPr>
              <w:t xml:space="preserve">Объем выполняемых работ указывается в техническом задании, являющимс</w:t>
            </w:r>
            <w:r>
              <w:rPr>
                <w:highlight w:val="white"/>
              </w:rPr>
              <w:t xml:space="preserve">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p>
        </w:tc>
        <w:tc>
          <w:tcPr>
            <w:tcW w:w="1387" w:type="pct"/>
            <w:vAlign w:val="center"/>
            <w:textDirection w:val="lrTb"/>
            <w:noWrap w:val="false"/>
          </w:tcPr>
          <w:p>
            <w:pPr>
              <w:rPr>
                <w:highlight w:val="white"/>
              </w:rPr>
            </w:pPr>
            <w:r/>
            <w:bookmarkStart w:id="16" w:name="_Ref315701315"/>
            <w:r/>
            <w:bookmarkStart w:id="17" w:name="_Toc509318698"/>
            <w:r/>
            <w:bookmarkStart w:id="18" w:name="_Ref55280359"/>
            <w:r/>
            <w:bookmarkStart w:id="19" w:name="_Toc55285360"/>
            <w:r/>
            <w:bookmarkStart w:id="20" w:name="_Toc55305377"/>
            <w:r/>
            <w:bookmarkStart w:id="21" w:name="_Toc57314628"/>
            <w:r/>
            <w:bookmarkStart w:id="22" w:name="_Toc69728953"/>
            <w:r/>
            <w:bookmarkStart w:id="23" w:name="_Ref271881827"/>
            <w:r/>
            <w:bookmarkStart w:id="24" w:name="_Ref315707398"/>
            <w:r/>
            <w:bookmarkStart w:id="25" w:name="_Toc536605204"/>
            <w:r/>
            <w:bookmarkStart w:id="26" w:name="_Toc536624528"/>
            <w:r>
              <w:rPr>
                <w:highlight w:val="white"/>
              </w:rPr>
              <w:t xml:space="preserve">Технические требования к </w:t>
            </w:r>
            <w:bookmarkEnd w:id="14"/>
            <w:r>
              <w:rPr>
                <w:highlight w:val="white"/>
              </w:rPr>
              <w:t xml:space="preserve">выполняемым работам</w:t>
            </w:r>
            <w:bookmarkEnd w:id="16"/>
            <w:r/>
            <w:bookmarkEnd w:id="17"/>
            <w:r/>
            <w:bookmarkEnd w:id="18"/>
            <w:r/>
            <w:bookmarkEnd w:id="19"/>
            <w:r/>
            <w:bookmarkEnd w:id="20"/>
            <w:r/>
            <w:bookmarkEnd w:id="21"/>
            <w:r/>
            <w:bookmarkEnd w:id="22"/>
            <w:r/>
            <w:bookmarkEnd w:id="23"/>
            <w:r/>
            <w:bookmarkEnd w:id="24"/>
            <w:r/>
            <w:bookmarkEnd w:id="25"/>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w:t>
            </w:r>
            <w:r>
              <w:rPr>
                <w:color w:val="000000"/>
                <w:highlight w:val="white"/>
              </w:rPr>
              <w:t xml:space="preserve">аксимальной) цене договора (начальной (максимальной) цене закупки) (далее по тексту – НМЦ)</w:t>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rPr>
              <w:t xml:space="preserve">2</w:t>
            </w:r>
            <w:r>
              <w:rPr>
                <w:b/>
                <w:bCs/>
              </w:rPr>
              <w:t xml:space="preserve"> </w:t>
            </w:r>
            <w:r>
              <w:rPr>
                <w:b/>
                <w:bCs/>
              </w:rPr>
              <w:t xml:space="preserve">356</w:t>
            </w:r>
            <w:r>
              <w:rPr>
                <w:b/>
                <w:bCs/>
              </w:rPr>
              <w:t xml:space="preserve"> </w:t>
            </w:r>
            <w:r>
              <w:rPr>
                <w:b/>
                <w:bCs/>
              </w:rPr>
              <w:t xml:space="preserve">828,46</w:t>
            </w:r>
            <w:r>
              <w:rPr>
                <w:b/>
                <w:bCs/>
              </w:rPr>
              <w:t xml:space="preserve"> </w:t>
            </w:r>
            <w:r>
              <w:rPr>
                <w:b/>
                <w:highlight w:val="white"/>
              </w:rPr>
              <w:t xml:space="preserve">руб. </w:t>
            </w:r>
            <w:r>
              <w:rPr>
                <w:b/>
                <w:highlight w:val="white"/>
                <w:lang w:val="en-US"/>
              </w:rPr>
              <w:t xml:space="preserve">c</w:t>
            </w:r>
            <w:r>
              <w:rPr>
                <w:b/>
                <w:highlight w:val="white"/>
              </w:rPr>
              <w:t xml:space="preserve"> НДС (в </w:t>
            </w:r>
            <w:r>
              <w:rPr>
                <w:b/>
                <w:highlight w:val="white"/>
              </w:rPr>
              <w:t xml:space="preserve">т.ч</w:t>
            </w:r>
            <w:r>
              <w:rPr>
                <w:b/>
                <w:highlight w:val="white"/>
              </w:rPr>
              <w:t xml:space="preserve">. НДС 22%)</w:t>
            </w:r>
            <w:r>
              <w:rPr>
                <w:highlight w:val="white"/>
              </w:rPr>
              <w:t xml:space="preserve"> и включает в себя все расходы участника, связанные с реализацией его заявки,</w:t>
            </w:r>
            <w:r>
              <w:rPr>
                <w:highlight w:val="white"/>
              </w:rPr>
              <w:t xml:space="preserve"> в том числе все виды налогов, сборов и иных платежей.</w:t>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p>
        </w:tc>
      </w:tr>
      <w:tr>
        <w:tblPrEx/>
        <w:trPr/>
        <w:tc>
          <w:tcPr>
            <w:tcW w:w="307" w:type="pct"/>
            <w:vAlign w:val="center"/>
            <w:textDirection w:val="lrTb"/>
            <w:noWrap w:val="false"/>
          </w:tcPr>
          <w:p>
            <w:pPr>
              <w:rPr>
                <w:highlight w:val="white"/>
              </w:rPr>
            </w:pPr>
            <w:r>
              <w:rPr>
                <w:highlight w:val="white"/>
              </w:rPr>
              <w:t xml:space="preserve">14</w:t>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p>
        </w:tc>
        <w:tc>
          <w:tcPr>
            <w:tcW w:w="3306" w:type="pct"/>
            <w:vAlign w:val="center"/>
            <w:textDirection w:val="lrTb"/>
            <w:noWrap w:val="false"/>
          </w:tcPr>
          <w:p>
            <w:pPr>
              <w:jc w:val="both"/>
              <w:rPr>
                <w:highlight w:val="white"/>
              </w:rPr>
            </w:pPr>
            <w:r/>
            <w:bookmarkStart w:id="27" w:name="_Toc536605205"/>
            <w:r/>
            <w:bookmarkStart w:id="28" w:name="_Toc536624529"/>
            <w:r>
              <w:rPr>
                <w:highlight w:val="white"/>
              </w:rPr>
              <w:t xml:space="preserve">В соответствии с техническим заданием, являющимся приложением № 4 к настоящему Извещению.</w:t>
            </w:r>
            <w:bookmarkEnd w:id="26"/>
            <w:r/>
            <w:bookmarkEnd w:id="27"/>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p>
          <w:p>
            <w:pPr>
              <w:rPr>
                <w:highlight w:val="white"/>
              </w:rPr>
            </w:pPr>
            <w:r>
              <w:rPr>
                <w:highlight w:val="white"/>
              </w:rPr>
              <w:t xml:space="preserve">Извещения </w:t>
            </w:r>
            <w:r>
              <w:rPr>
                <w:highlight w:val="white"/>
              </w:rPr>
            </w:r>
          </w:p>
        </w:tc>
        <w:tc>
          <w:tcPr>
            <w:tcW w:w="3306" w:type="pct"/>
            <w:vAlign w:val="center"/>
            <w:textDirection w:val="lrTb"/>
            <w:noWrap w:val="false"/>
          </w:tcPr>
          <w:p>
            <w:pPr>
              <w:jc w:val="both"/>
              <w:rPr>
                <w:color w:val="000000" w:themeColor="text1"/>
              </w:rPr>
            </w:pPr>
            <w:r>
              <w:rPr>
                <w:color w:val="000000" w:themeColor="text1"/>
              </w:rPr>
              <w:t xml:space="preserve">Настоящее Извещение размещено в Единой информационной системе в сфере закупок</w:t>
            </w:r>
            <w:r>
              <w:rPr>
                <w:color w:val="000000" w:themeColor="text1"/>
              </w:rPr>
              <w:t xml:space="preserve">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1"/>
                  <w:color w:val="000000" w:themeColor="text1"/>
                </w:rPr>
                <w:t xml:space="preserve">www.</w:t>
              </w:r>
              <w:r>
                <w:rPr>
                  <w:rStyle w:val="1131"/>
                  <w:color w:val="000000" w:themeColor="text1"/>
                  <w:lang w:val="en-US"/>
                </w:rPr>
                <w:t xml:space="preserve">tender</w:t>
              </w:r>
              <w:r>
                <w:rPr>
                  <w:rStyle w:val="1131"/>
                  <w:color w:val="000000" w:themeColor="text1"/>
                </w:rPr>
                <w:t xml:space="preserve">.</w:t>
              </w:r>
              <w:r>
                <w:rPr>
                  <w:rStyle w:val="1131"/>
                  <w:color w:val="000000" w:themeColor="text1"/>
                  <w:lang w:val="en-US"/>
                </w:rPr>
                <w:t xml:space="preserve">lot</w:t>
              </w:r>
              <w:r>
                <w:rPr>
                  <w:rStyle w:val="1131"/>
                  <w:color w:val="000000" w:themeColor="text1"/>
                </w:rPr>
                <w:t xml:space="preserve">-</w:t>
              </w:r>
              <w:r>
                <w:rPr>
                  <w:rStyle w:val="1131"/>
                  <w:color w:val="000000" w:themeColor="text1"/>
                  <w:lang w:val="en-US"/>
                </w:rPr>
                <w:t xml:space="preserve">online</w:t>
              </w:r>
              <w:r>
                <w:rPr>
                  <w:rStyle w:val="1131"/>
                  <w:color w:val="000000" w:themeColor="text1"/>
                </w:rPr>
                <w:t xml:space="preserve">.</w:t>
              </w:r>
              <w:r>
                <w:rPr>
                  <w:rStyle w:val="1131"/>
                  <w:color w:val="000000" w:themeColor="text1"/>
                </w:rPr>
                <w:t xml:space="preserve">ru</w:t>
              </w:r>
            </w:hyperlink>
            <w:r>
              <w:rPr>
                <w:color w:val="000000" w:themeColor="text1"/>
              </w:rPr>
              <w:t xml:space="preserve">)</w:t>
            </w:r>
            <w:r>
              <w:rPr>
                <w:color w:val="000000" w:themeColor="text1"/>
              </w:rPr>
              <w:br w:type="textWrapping" w:clear="all"/>
            </w:r>
            <w:r>
              <w:rPr>
                <w:b/>
                <w:color w:val="000000" w:themeColor="text1"/>
              </w:rPr>
              <w:t xml:space="preserve">«10</w:t>
            </w:r>
            <w:r>
              <w:rPr>
                <w:b/>
                <w:color w:val="000000" w:themeColor="text1"/>
              </w:rPr>
              <w:t xml:space="preserve">» июля 2026г</w:t>
            </w:r>
            <w:r>
              <w:rPr>
                <w:color w:val="000000" w:themeColor="text1"/>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rPr>
            </w:r>
          </w:p>
          <w:p>
            <w:pPr>
              <w:jc w:val="both"/>
              <w:rPr>
                <w:color w:val="000000" w:themeColor="text1"/>
              </w:rPr>
            </w:pPr>
            <w:r>
              <w:rPr>
                <w:color w:val="000000" w:themeColor="text1"/>
              </w:rPr>
              <w:t xml:space="preserve">В случае возникновения технических и иных неполадок при работе Единой информационной </w:t>
            </w:r>
            <w:r>
              <w:rPr>
                <w:color w:val="000000" w:themeColor="text1"/>
              </w:rPr>
              <w:t xml:space="preserve">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1"/>
                  <w:color w:val="000000" w:themeColor="text1"/>
                  <w:lang w:val="en-US"/>
                </w:rPr>
                <w:t xml:space="preserve">www</w:t>
              </w:r>
              <w:r>
                <w:rPr>
                  <w:rStyle w:val="1131"/>
                  <w:color w:val="000000" w:themeColor="text1"/>
                </w:rPr>
                <w:t xml:space="preserve">.</w:t>
              </w:r>
              <w:r>
                <w:rPr>
                  <w:rStyle w:val="1131"/>
                  <w:color w:val="000000" w:themeColor="text1"/>
                  <w:lang w:val="en-US"/>
                </w:rPr>
                <w:t xml:space="preserve">rossetimr</w:t>
              </w:r>
              <w:r>
                <w:rPr>
                  <w:rStyle w:val="1131"/>
                  <w:color w:val="000000" w:themeColor="text1"/>
                </w:rPr>
                <w:t xml:space="preserve">.</w:t>
              </w:r>
              <w:r>
                <w:rPr>
                  <w:rStyle w:val="1131"/>
                  <w:color w:val="000000" w:themeColor="text1"/>
                  <w:lang w:val="en-US"/>
                </w:rPr>
                <w:t xml:space="preserve">ru</w:t>
              </w:r>
            </w:hyperlink>
            <w:r>
              <w:rPr>
                <w:color w:val="000000" w:themeColor="text1"/>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w:t>
            </w:r>
            <w:r>
              <w:rPr>
                <w:color w:val="000000" w:themeColor="text1"/>
              </w:rPr>
              <w:t xml:space="preserve"> размещенной в установленном порядке.</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16</w:t>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p>
        </w:tc>
        <w:tc>
          <w:tcPr>
            <w:tcW w:w="3306" w:type="pct"/>
            <w:vAlign w:val="center"/>
            <w:textDirection w:val="lrTb"/>
            <w:noWrap w:val="false"/>
          </w:tcPr>
          <w:p>
            <w:pPr>
              <w:jc w:val="both"/>
              <w:rPr>
                <w:color w:val="000000" w:themeColor="text1"/>
              </w:rPr>
            </w:pPr>
            <w:r>
              <w:rPr>
                <w:color w:val="000000" w:themeColor="text1"/>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w:t>
            </w:r>
            <w:r>
              <w:rPr>
                <w:color w:val="000000" w:themeColor="text1"/>
              </w:rPr>
              <w:t xml:space="preserve">купок ПАО «</w:t>
            </w:r>
            <w:r>
              <w:rPr>
                <w:color w:val="000000" w:themeColor="text1"/>
              </w:rPr>
              <w:t xml:space="preserve">Россети</w:t>
            </w:r>
            <w:r>
              <w:rPr>
                <w:color w:val="000000" w:themeColor="text1"/>
              </w:rPr>
              <w:t xml:space="preserve">».</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17</w:t>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p>
        </w:tc>
        <w:tc>
          <w:tcPr>
            <w:tcW w:w="3306" w:type="pct"/>
            <w:vAlign w:val="center"/>
            <w:textDirection w:val="lrTb"/>
            <w:noWrap w:val="false"/>
          </w:tcPr>
          <w:p>
            <w:pPr>
              <w:jc w:val="both"/>
              <w:rPr>
                <w:b/>
                <w:color w:val="000000" w:themeColor="text1"/>
              </w:rPr>
            </w:pPr>
            <w:r/>
            <w:bookmarkStart w:id="29" w:name="_Toc536605206"/>
            <w:r/>
            <w:bookmarkStart w:id="30" w:name="_Toc536624530"/>
            <w:r>
              <w:rPr>
                <w:color w:val="000000" w:themeColor="text1"/>
              </w:rPr>
              <w:t xml:space="preserve">Дата начала подачи запросов на разъяснение </w:t>
            </w:r>
            <w:r>
              <w:rPr>
                <w:color w:val="000000" w:themeColor="text1"/>
              </w:rPr>
              <w:t xml:space="preserve">Извещения:</w:t>
            </w:r>
            <w:r>
              <w:rPr>
                <w:color w:val="000000" w:themeColor="text1"/>
              </w:rPr>
              <w:br w:type="textWrapping" w:clear="all"/>
            </w:r>
            <w:r>
              <w:rPr>
                <w:b/>
                <w:color w:val="000000" w:themeColor="text1"/>
              </w:rPr>
              <w:t xml:space="preserve">«10</w:t>
            </w:r>
            <w:r>
              <w:rPr>
                <w:b/>
                <w:color w:val="000000" w:themeColor="text1"/>
              </w:rPr>
              <w:t xml:space="preserve">» июля 2026 г.</w:t>
            </w:r>
            <w:bookmarkEnd w:id="28"/>
            <w:r/>
            <w:bookmarkEnd w:id="29"/>
            <w:r/>
            <w:r>
              <w:rPr>
                <w:b/>
                <w:color w:val="000000" w:themeColor="text1"/>
              </w:rPr>
            </w:r>
          </w:p>
          <w:p>
            <w:pPr>
              <w:jc w:val="both"/>
              <w:rPr>
                <w:color w:val="000000" w:themeColor="text1"/>
              </w:rPr>
            </w:pPr>
            <w:r/>
            <w:bookmarkStart w:id="31" w:name="_Toc536605207"/>
            <w:r/>
            <w:bookmarkStart w:id="32" w:name="_Toc536624531"/>
            <w:r>
              <w:rPr>
                <w:color w:val="000000" w:themeColor="text1"/>
              </w:rPr>
              <w:t xml:space="preserve">Дата окончания подачи запросов на разъяснение Извещения: </w:t>
            </w:r>
            <w:r>
              <w:rPr>
                <w:b/>
                <w:color w:val="000000" w:themeColor="text1"/>
              </w:rPr>
              <w:t xml:space="preserve">до 23 час. 59 мин. </w:t>
            </w:r>
            <w:r>
              <w:rPr>
                <w:b/>
                <w:color w:val="000000" w:themeColor="text1"/>
              </w:rPr>
              <w:t xml:space="preserve">«13» июля 2026 г.</w:t>
            </w:r>
            <w:bookmarkEnd w:id="30"/>
            <w:r/>
            <w:bookmarkEnd w:id="31"/>
            <w:r>
              <w:rPr>
                <w:b/>
                <w:color w:val="000000" w:themeColor="text1"/>
              </w:rPr>
              <w:t xml:space="preserve"> </w:t>
            </w:r>
            <w:r>
              <w:rPr>
                <w:color w:val="000000" w:themeColor="text1"/>
              </w:rPr>
            </w:r>
          </w:p>
          <w:p>
            <w:pPr>
              <w:jc w:val="both"/>
              <w:rPr>
                <w:color w:val="000000" w:themeColor="text1"/>
              </w:rPr>
            </w:pPr>
            <w:r/>
            <w:bookmarkStart w:id="33" w:name="_Toc536605208"/>
            <w:r/>
            <w:bookmarkStart w:id="34" w:name="_Toc536624532"/>
            <w:r>
              <w:rPr>
                <w:color w:val="000000" w:themeColor="text1"/>
              </w:rPr>
              <w:t xml:space="preserve">Организатор Запроса цен вправе не отвечать на запросы, поступившие позднее срока, установленного в настоящем пункте.</w:t>
            </w:r>
            <w:bookmarkEnd w:id="32"/>
            <w:r/>
            <w:bookmarkEnd w:id="33"/>
            <w:r/>
            <w:r>
              <w:rPr>
                <w:color w:val="000000" w:themeColor="text1"/>
              </w:rPr>
            </w:r>
          </w:p>
          <w:p>
            <w:pPr>
              <w:jc w:val="both"/>
              <w:rPr>
                <w:color w:val="000000" w:themeColor="text1"/>
              </w:rPr>
            </w:pPr>
            <w:r/>
            <w:bookmarkStart w:id="35" w:name="_Toc536605209"/>
            <w:r/>
            <w:bookmarkStart w:id="36" w:name="_Toc536624533"/>
            <w:r>
              <w:rPr>
                <w:color w:val="000000" w:themeColor="text1"/>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4"/>
            <w:r/>
            <w:bookmarkEnd w:id="35"/>
            <w:r/>
            <w:r>
              <w:rPr>
                <w:color w:val="000000" w:themeColor="text1"/>
              </w:rPr>
            </w:r>
          </w:p>
          <w:p>
            <w:pPr>
              <w:jc w:val="both"/>
              <w:rPr>
                <w:color w:val="000000" w:themeColor="text1"/>
              </w:rPr>
            </w:pPr>
            <w:r/>
            <w:bookmarkStart w:id="37" w:name="_Toc536605210"/>
            <w:r/>
            <w:bookmarkStart w:id="38" w:name="_Toc536624534"/>
            <w:r>
              <w:rPr>
                <w:color w:val="000000" w:themeColor="text1"/>
              </w:rPr>
              <w:t xml:space="preserve">Запросы раз</w:t>
            </w:r>
            <w:r>
              <w:rPr>
                <w:color w:val="000000" w:themeColor="text1"/>
              </w:rPr>
              <w:t xml:space="preserve">ъяснений, направленные иным способом, не рассматриваются и ответы на них не предоставляются.</w:t>
            </w:r>
            <w:bookmarkEnd w:id="36"/>
            <w:r/>
            <w:bookmarkEnd w:id="37"/>
            <w:r/>
            <w:r>
              <w:rPr>
                <w:color w:val="000000" w:themeColor="text1"/>
              </w:rPr>
            </w:r>
          </w:p>
        </w:tc>
      </w:tr>
      <w:tr>
        <w:tblPrEx/>
        <w:trPr/>
        <w:tc>
          <w:tcPr>
            <w:tcW w:w="307" w:type="pct"/>
            <w:vAlign w:val="center"/>
            <w:textDirection w:val="lrTb"/>
            <w:noWrap w:val="false"/>
          </w:tcPr>
          <w:p>
            <w:pPr>
              <w:rPr>
                <w:highlight w:val="white"/>
              </w:rPr>
            </w:pPr>
            <w:r>
              <w:rPr>
                <w:highlight w:val="white"/>
              </w:rPr>
              <w:t xml:space="preserve">18</w:t>
            </w:r>
            <w:r>
              <w:rPr>
                <w:highlight w:val="white"/>
              </w:rPr>
            </w:r>
          </w:p>
        </w:tc>
        <w:tc>
          <w:tcPr>
            <w:tcW w:w="1387" w:type="pct"/>
            <w:vAlign w:val="center"/>
            <w:textDirection w:val="lrTb"/>
            <w:noWrap w:val="false"/>
          </w:tcPr>
          <w:p>
            <w:pPr>
              <w:rPr>
                <w:highlight w:val="white"/>
              </w:rPr>
            </w:pPr>
            <w:r/>
            <w:bookmarkStart w:id="39" w:name="_Toc536624535"/>
            <w:r>
              <w:rPr>
                <w:highlight w:val="white"/>
              </w:rPr>
              <w:t xml:space="preserve">Отмена закупки</w:t>
            </w:r>
            <w:bookmarkEnd w:id="38"/>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заключения договора.</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19</w:t>
            </w:r>
            <w:r>
              <w:rPr>
                <w:highlight w:val="white"/>
              </w:rPr>
            </w:r>
          </w:p>
        </w:tc>
        <w:tc>
          <w:tcPr>
            <w:tcW w:w="1387" w:type="pct"/>
            <w:vAlign w:val="center"/>
            <w:textDirection w:val="lrTb"/>
            <w:noWrap w:val="false"/>
          </w:tcPr>
          <w:p>
            <w:pPr>
              <w:rPr>
                <w:highlight w:val="white"/>
              </w:rPr>
            </w:pPr>
            <w:r/>
            <w:bookmarkStart w:id="40" w:name="_Toc536605212"/>
            <w:r/>
            <w:bookmarkStart w:id="41" w:name="_Toc536624536"/>
            <w:r>
              <w:rPr>
                <w:highlight w:val="white"/>
              </w:rPr>
              <w:t xml:space="preserve">Порядок и срок отзыва заявок на участие, порядок внесения изменений в поданную заявку</w:t>
            </w:r>
            <w:bookmarkEnd w:id="39"/>
            <w:r/>
            <w:bookmarkEnd w:id="40"/>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Изменение и отзы</w:t>
            </w:r>
            <w:r>
              <w:rPr>
                <w:color w:val="000000" w:themeColor="text1"/>
                <w:highlight w:val="white"/>
              </w:rPr>
              <w:t xml:space="preserve">в заявки на участие возможен до истечения окончания срока подачи заявок, установленного настоящим Извещением.</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20</w:t>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p>
        </w:tc>
        <w:tc>
          <w:tcPr>
            <w:tcW w:w="3306" w:type="pct"/>
            <w:vAlign w:val="center"/>
            <w:textDirection w:val="lrTb"/>
            <w:noWrap w:val="false"/>
          </w:tcPr>
          <w:p>
            <w:pPr>
              <w:jc w:val="both"/>
              <w:rPr>
                <w:b/>
                <w:color w:val="000000" w:themeColor="text1"/>
              </w:rPr>
            </w:pPr>
            <w:r>
              <w:rPr>
                <w:color w:val="000000" w:themeColor="text1"/>
              </w:rPr>
              <w:t xml:space="preserve">Дата начала подачи заявок – с момента размещения Извещения в ЕИС и на ЭТП </w:t>
            </w:r>
            <w:r>
              <w:rPr>
                <w:b/>
                <w:color w:val="000000" w:themeColor="text1"/>
              </w:rPr>
              <w:t xml:space="preserve">«10» июля 2026 г</w:t>
            </w:r>
            <w:r>
              <w:rPr>
                <w:rFonts w:eastAsia="MS Mincho"/>
                <w:b/>
                <w:color w:val="000000" w:themeColor="text1"/>
              </w:rPr>
              <w:t xml:space="preserve">.</w:t>
            </w:r>
            <w:r>
              <w:rPr>
                <w:b/>
                <w:color w:val="000000" w:themeColor="text1"/>
              </w:rPr>
            </w:r>
          </w:p>
          <w:p>
            <w:pPr>
              <w:jc w:val="both"/>
              <w:rPr>
                <w:color w:val="000000" w:themeColor="text1"/>
              </w:rPr>
            </w:pPr>
            <w:r>
              <w:rPr>
                <w:color w:val="000000" w:themeColor="text1"/>
              </w:rPr>
              <w:t xml:space="preserve">Дата окончания срока подачи заявок – 11 часов 00 минут по московскому времени </w:t>
            </w:r>
            <w:r>
              <w:rPr>
                <w:b/>
                <w:color w:val="000000" w:themeColor="text1"/>
              </w:rPr>
              <w:t xml:space="preserve">«17</w:t>
            </w:r>
            <w:r>
              <w:rPr>
                <w:b/>
                <w:color w:val="000000" w:themeColor="text1"/>
              </w:rPr>
              <w:t xml:space="preserve">» июля 2026 г</w:t>
            </w:r>
            <w:r>
              <w:rPr>
                <w:rFonts w:eastAsia="MS Mincho"/>
                <w:b/>
                <w:color w:val="000000" w:themeColor="text1"/>
              </w:rPr>
              <w:t xml:space="preserve">.</w:t>
            </w:r>
            <w:r>
              <w:rPr>
                <w:rFonts w:eastAsia="MS Mincho"/>
                <w:color w:val="000000" w:themeColor="text1"/>
              </w:rPr>
              <w:t xml:space="preserve"> </w:t>
            </w:r>
            <w:r>
              <w:rPr>
                <w:color w:val="000000" w:themeColor="text1"/>
              </w:rPr>
              <w:t xml:space="preserve">через соответствующий функционал электронной торговой площадки АО «Р</w:t>
            </w:r>
            <w:r>
              <w:rPr>
                <w:color w:val="000000" w:themeColor="text1"/>
              </w:rPr>
              <w:t xml:space="preserve">оссийский аукционный дом». </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21</w:t>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p>
        </w:tc>
        <w:tc>
          <w:tcPr>
            <w:tcW w:w="3306" w:type="pct"/>
            <w:vAlign w:val="center"/>
            <w:textDirection w:val="lrTb"/>
            <w:noWrap w:val="false"/>
          </w:tcPr>
          <w:p>
            <w:pPr>
              <w:jc w:val="both"/>
              <w:rPr>
                <w:color w:val="000000" w:themeColor="text1"/>
              </w:rPr>
            </w:pPr>
            <w:r>
              <w:rPr>
                <w:color w:val="000000" w:themeColor="text1"/>
              </w:rPr>
              <w:t xml:space="preserve">Вскрытие заявок, поступивших на участие в закупке, состоится в 11:00 </w:t>
            </w:r>
            <w:r>
              <w:rPr>
                <w:b/>
                <w:color w:val="000000" w:themeColor="text1"/>
              </w:rPr>
              <w:t xml:space="preserve">«17» июля 2026 г</w:t>
            </w:r>
            <w:r>
              <w:rPr>
                <w:rFonts w:eastAsia="MS Mincho"/>
                <w:color w:val="000000" w:themeColor="text1"/>
              </w:rPr>
              <w:t xml:space="preserve">.</w:t>
            </w:r>
            <w:r>
              <w:rPr>
                <w:rFonts w:eastAsia="MS Mincho"/>
                <w:color w:val="000000" w:themeColor="text1"/>
              </w:rPr>
              <w:t xml:space="preserve"> </w:t>
            </w:r>
            <w:r>
              <w:rPr>
                <w:color w:val="000000" w:themeColor="text1"/>
              </w:rPr>
              <w:t xml:space="preserve">посредством функционала электронной торговой площадки АО «Российский аукционный дом». </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22</w:t>
            </w:r>
            <w:r>
              <w:rPr>
                <w:highlight w:val="white"/>
              </w:rPr>
            </w:r>
          </w:p>
        </w:tc>
        <w:tc>
          <w:tcPr>
            <w:tcW w:w="1387" w:type="pct"/>
            <w:vAlign w:val="center"/>
            <w:textDirection w:val="lrTb"/>
            <w:noWrap w:val="false"/>
          </w:tcPr>
          <w:p>
            <w:pPr>
              <w:rPr>
                <w:highlight w:val="white"/>
              </w:rPr>
            </w:pPr>
            <w:r>
              <w:rPr>
                <w:highlight w:val="white"/>
              </w:rPr>
              <w:t xml:space="preserve">Возможность проведения переторжки</w:t>
            </w:r>
            <w:r>
              <w:rPr>
                <w:highlight w:val="white"/>
              </w:rPr>
            </w:r>
          </w:p>
        </w:tc>
        <w:tc>
          <w:tcPr>
            <w:tcW w:w="3306" w:type="pct"/>
            <w:vAlign w:val="center"/>
            <w:textDirection w:val="lrTb"/>
            <w:noWrap w:val="false"/>
          </w:tcPr>
          <w:p>
            <w:pPr>
              <w:jc w:val="both"/>
              <w:rPr>
                <w:b/>
                <w:bCs/>
                <w:highlight w:val="white"/>
              </w:rPr>
            </w:pPr>
            <w:r>
              <w:rPr>
                <w:b/>
                <w:bCs/>
                <w:highlight w:val="white"/>
              </w:rPr>
            </w:r>
            <w:r>
              <w:rPr>
                <w:b/>
                <w:bCs/>
                <w:highlight w:val="white"/>
              </w:rPr>
            </w:r>
          </w:p>
          <w:p>
            <w:pPr>
              <w:jc w:val="both"/>
              <w:rPr>
                <w:b/>
                <w:bCs/>
                <w:highlight w:val="white"/>
              </w:rPr>
            </w:pPr>
            <w:r>
              <w:rPr>
                <w:b/>
                <w:highlight w:val="white"/>
              </w:rPr>
              <w:t xml:space="preserve">Не предусмотрена. </w:t>
            </w:r>
            <w:r>
              <w:rPr>
                <w:b/>
                <w:bCs/>
                <w:highlight w:val="white"/>
              </w:rPr>
            </w:r>
          </w:p>
          <w:p>
            <w:pPr>
              <w:jc w:val="both"/>
              <w:rPr>
                <w:b/>
                <w:color w:val="000000" w:themeColor="text1"/>
                <w:highlight w:val="white"/>
              </w:rPr>
            </w:pPr>
            <w:r>
              <w:rPr>
                <w:b/>
                <w:color w:val="000000" w:themeColor="text1"/>
                <w:highlight w:val="white"/>
              </w:rPr>
            </w:r>
            <w:r>
              <w:rPr>
                <w:b/>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23</w:t>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p>
        </w:tc>
        <w:tc>
          <w:tcPr>
            <w:tcW w:w="3306" w:type="pct"/>
            <w:vAlign w:val="center"/>
            <w:textDirection w:val="lrTb"/>
            <w:noWrap w:val="false"/>
          </w:tcPr>
          <w:p>
            <w:pPr>
              <w:jc w:val="both"/>
              <w:rPr>
                <w:color w:val="000000" w:themeColor="text1"/>
              </w:rPr>
            </w:pPr>
            <w:r>
              <w:rPr>
                <w:color w:val="000000" w:themeColor="text1"/>
                <w:highlight w:val="white"/>
              </w:rPr>
              <w:t xml:space="preserve">1) </w:t>
            </w:r>
            <w:r>
              <w:rPr>
                <w:color w:val="000000" w:themeColor="text1"/>
              </w:rPr>
              <w:t xml:space="preserve">Рассмотрение заявок осущес</w:t>
            </w:r>
            <w:r>
              <w:rPr>
                <w:color w:val="000000" w:themeColor="text1"/>
              </w:rPr>
              <w:t xml:space="preserve">твляется не позднее </w:t>
            </w:r>
            <w:r>
              <w:rPr>
                <w:b/>
                <w:color w:val="000000" w:themeColor="text1"/>
              </w:rPr>
              <w:t xml:space="preserve">21:00  </w:t>
            </w:r>
            <w:r>
              <w:rPr>
                <w:b/>
                <w:color w:val="000000" w:themeColor="text1"/>
              </w:rPr>
              <w:t xml:space="preserve">«</w:t>
            </w:r>
            <w:r>
              <w:rPr>
                <w:b/>
                <w:color w:val="000000" w:themeColor="text1"/>
              </w:rPr>
              <w:t xml:space="preserve">23» июля 2026 г.</w:t>
            </w:r>
            <w:r>
              <w:rPr>
                <w:color w:val="000000" w:themeColor="text1"/>
              </w:rPr>
              <w:t xml:space="preserve"> по московскому времени.</w:t>
            </w:r>
            <w:r>
              <w:rPr>
                <w:color w:val="000000" w:themeColor="text1"/>
              </w:rPr>
            </w:r>
          </w:p>
          <w:p>
            <w:pPr>
              <w:jc w:val="both"/>
              <w:rPr>
                <w:color w:val="000000" w:themeColor="text1"/>
                <w:highlight w:val="white"/>
              </w:rPr>
            </w:pPr>
            <w:r/>
            <w:bookmarkStart w:id="42" w:name="_Toc422209971"/>
            <w:r/>
            <w:bookmarkStart w:id="43" w:name="_Toc422226791"/>
            <w:r/>
            <w:bookmarkStart w:id="44" w:name="_Toc422244143"/>
            <w:r>
              <w:rPr>
                <w:color w:val="000000" w:themeColor="text1"/>
              </w:rPr>
              <w:t xml:space="preserve">2) Подведение итогов состоится: </w:t>
            </w:r>
            <w:bookmarkEnd w:id="41"/>
            <w:r/>
            <w:bookmarkEnd w:id="42"/>
            <w:r/>
            <w:bookmarkEnd w:id="43"/>
            <w:r>
              <w:rPr>
                <w:color w:val="000000" w:themeColor="text1"/>
              </w:rPr>
              <w:t xml:space="preserve">не позднее </w:t>
            </w:r>
            <w:r>
              <w:rPr>
                <w:b/>
                <w:color w:val="000000" w:themeColor="text1"/>
              </w:rPr>
              <w:t xml:space="preserve">21:00</w:t>
            </w:r>
            <w:r>
              <w:rPr>
                <w:b/>
                <w:color w:val="000000" w:themeColor="text1"/>
              </w:rPr>
              <w:br w:type="textWrapping" w:clear="all"/>
            </w:r>
            <w:r>
              <w:rPr>
                <w:b/>
                <w:color w:val="000000" w:themeColor="text1"/>
              </w:rPr>
              <w:t xml:space="preserve">«23» июля 2026 г.</w:t>
            </w:r>
            <w:r>
              <w:rPr>
                <w:color w:val="000000" w:themeColor="text1"/>
              </w:rPr>
              <w:t xml:space="preserve"> по московскому </w:t>
            </w:r>
            <w:r>
              <w:rPr>
                <w:color w:val="000000" w:themeColor="text1"/>
                <w:highlight w:val="white"/>
              </w:rPr>
              <w:t xml:space="preserve">времени.</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24</w:t>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w:t>
            </w:r>
            <w:r>
              <w:rPr>
                <w:highlight w:val="white"/>
              </w:rPr>
              <w:t xml:space="preserve">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25</w:t>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26</w:t>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p>
        </w:tc>
        <w:tc>
          <w:tcPr>
            <w:tcW w:w="3306" w:type="pct"/>
            <w:vAlign w:val="center"/>
            <w:textDirection w:val="lrTb"/>
            <w:noWrap w:val="false"/>
          </w:tcPr>
          <w:p>
            <w:pPr>
              <w:jc w:val="both"/>
              <w:rPr>
                <w:highlight w:val="white"/>
              </w:rPr>
            </w:pPr>
            <w:r>
              <w:rPr>
                <w:highlight w:val="white"/>
              </w:rPr>
              <w:t xml:space="preserve">Указан в приложении №2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27</w:t>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p>
        </w:tc>
        <w:tc>
          <w:tcPr>
            <w:tcW w:w="3306" w:type="pct"/>
            <w:vAlign w:val="center"/>
            <w:textDirection w:val="lrTb"/>
            <w:noWrap w:val="false"/>
          </w:tcPr>
          <w:p>
            <w:pPr>
              <w:jc w:val="both"/>
              <w:rPr>
                <w:highlight w:val="white"/>
              </w:rPr>
            </w:pPr>
            <w:r>
              <w:rPr>
                <w:highlight w:val="white"/>
              </w:rPr>
              <w:t xml:space="preserve">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w:t>
            </w:r>
            <w:r>
              <w:rPr>
                <w:highlight w:val="white"/>
              </w:rPr>
              <w:t xml:space="preserve">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28</w:t>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p>
        </w:tc>
        <w:tc>
          <w:tcPr>
            <w:tcW w:w="3306" w:type="pct"/>
            <w:vAlign w:val="center"/>
            <w:textDirection w:val="lrTb"/>
            <w:noWrap w:val="false"/>
          </w:tcPr>
          <w:p>
            <w:pPr>
              <w:jc w:val="both"/>
              <w:rPr>
                <w:highlight w:val="white"/>
              </w:rPr>
            </w:pPr>
            <w:r>
              <w:rPr>
                <w:highlight w:val="white"/>
              </w:rPr>
              <w:t xml:space="preserve">Не требуется</w:t>
            </w:r>
            <w:r>
              <w:rPr>
                <w:highlight w:val="white"/>
              </w:rPr>
            </w:r>
          </w:p>
        </w:tc>
      </w:tr>
      <w:tr>
        <w:tblPrEx/>
        <w:trPr/>
        <w:tc>
          <w:tcPr>
            <w:tcW w:w="307" w:type="pct"/>
            <w:vAlign w:val="center"/>
            <w:textDirection w:val="lrTb"/>
            <w:noWrap w:val="false"/>
          </w:tcPr>
          <w:p>
            <w:pPr>
              <w:rPr>
                <w:highlight w:val="white"/>
              </w:rPr>
            </w:pPr>
            <w:r>
              <w:rPr>
                <w:highlight w:val="white"/>
              </w:rPr>
              <w:t xml:space="preserve">29</w:t>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p>
        </w:tc>
        <w:tc>
          <w:tcPr>
            <w:tcW w:w="3306" w:type="pct"/>
            <w:vAlign w:val="center"/>
            <w:textDirection w:val="lrTb"/>
            <w:noWrap w:val="false"/>
          </w:tcPr>
          <w:p>
            <w:pPr>
              <w:jc w:val="both"/>
              <w:rPr>
                <w:highlight w:val="white"/>
              </w:rPr>
            </w:pPr>
            <w:r>
              <w:rPr>
                <w:highlight w:val="white"/>
              </w:rPr>
              <w:t xml:space="preserve">Случаи предоставления обеспечения по договору указаны в Приложении №6 «Условия выбора финансового обеспечения» к Извещению.</w:t>
            </w:r>
            <w:r>
              <w:rPr>
                <w:highlight w:val="white"/>
              </w:rPr>
            </w:r>
          </w:p>
          <w:p>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t xml:space="preserve">приложением к договору (Прилож</w:t>
            </w:r>
            <w:r>
              <w:rPr>
                <w:highlight w:val="white"/>
              </w:rPr>
              <w:t xml:space="preserve">ение №5 «Проект договора» к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30</w:t>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w:t>
            </w:r>
            <w:r>
              <w:rPr>
                <w:highlight w:val="white"/>
              </w:rPr>
              <w:t xml:space="preserve">тие в закупке</w:t>
            </w:r>
            <w:bookmarkEnd w:id="44"/>
            <w:r/>
            <w:bookmarkEnd w:id="45"/>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w:t>
            </w:r>
            <w:r>
              <w:rPr>
                <w:highlight w:val="white"/>
              </w:rPr>
              <w:t xml:space="preserve">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w:t>
            </w:r>
            <w:r>
              <w:rPr>
                <w:rFonts w:eastAsia="Calibri"/>
                <w:highlight w:val="white"/>
                <w:lang w:eastAsia="en-US"/>
              </w:rPr>
              <w:t xml:space="preserve">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w:t>
            </w:r>
            <w:r>
              <w:rPr>
                <w:rFonts w:eastAsia="MS Mincho"/>
                <w:highlight w:val="white"/>
              </w:rPr>
              <w:t xml:space="preserve">роса цен. Инструкция по подготовке заявок участниками.</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включаемых в заявку.</w:t>
            </w:r>
            <w:r>
              <w:rPr>
                <w:highlight w:val="white"/>
              </w:rPr>
            </w:r>
          </w:p>
          <w:p>
            <w:pPr>
              <w:jc w:val="both"/>
              <w:rPr>
                <w:highlight w:val="white"/>
              </w:rPr>
            </w:pP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highlight w:val="white"/>
              </w:rPr>
              <w:t xml:space="preserve">Приложение № 6. Условия выбора финансового обеспечения.</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p>
    <w:p>
      <w:pPr>
        <w:pStyle w:val="962"/>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
        <w:rPr>
          <w:rFonts w:ascii="Times New Roman" w:hAnsi="Times New Roman" w:cs="Times New Roman"/>
          <w:highlight w:val="white"/>
        </w:rPr>
      </w:r>
    </w:p>
    <w:p>
      <w:pPr>
        <w:rPr>
          <w:highlight w:val="white"/>
        </w:rPr>
      </w:pPr>
      <w:r>
        <w:rPr>
          <w:highlight w:val="white"/>
        </w:rPr>
      </w:r>
      <w:r>
        <w:rPr>
          <w:highlight w:val="white"/>
        </w:rPr>
      </w:r>
    </w:p>
    <w:p>
      <w:pPr>
        <w:pStyle w:val="962"/>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w:t>
      </w:r>
      <w:r>
        <w:rPr>
          <w:highlight w:val="white"/>
        </w:rPr>
        <w:t xml:space="preserve"> п. 4 общих сведений о закупке настоящего Извещения, за исключением юридического лица, являющегося иностранным агентом</w:t>
      </w:r>
      <w:r>
        <w:rPr>
          <w:rStyle w:val="1134"/>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w:t>
      </w:r>
      <w:r>
        <w:rPr>
          <w:highlight w:val="white"/>
        </w:rPr>
        <w:t xml:space="preserve">м», и способные на законных основаниях выполнить требуемую работу.</w:t>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p>
    <w:p>
      <w:pPr>
        <w:pStyle w:val="1192"/>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p>
    <w:p>
      <w:pPr>
        <w:pStyle w:val="1192"/>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w:t>
      </w:r>
      <w:r>
        <w:rPr>
          <w:bCs w:val="0"/>
          <w:szCs w:val="24"/>
          <w:highlight w:val="white"/>
        </w:rPr>
        <w:t xml:space="preserve">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w:t>
      </w:r>
      <w:r>
        <w:rPr>
          <w:bCs w:val="0"/>
          <w:szCs w:val="24"/>
          <w:highlight w:val="white"/>
        </w:rPr>
        <w:t xml:space="preserve">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p>
    <w:p>
      <w:pPr>
        <w:pStyle w:val="1192"/>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w:t>
      </w:r>
      <w:r>
        <w:rPr>
          <w:rFonts w:eastAsia="Arial Unicode MS"/>
          <w:bCs w:val="0"/>
          <w:highlight w:val="white"/>
        </w:rPr>
        <w:t xml:space="preserve">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p>
    <w:p>
      <w:pPr>
        <w:pStyle w:val="1192"/>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w:t>
      </w:r>
      <w:r>
        <w:rPr>
          <w:rFonts w:eastAsia="Arial Unicode MS"/>
          <w:bCs w:val="0"/>
          <w:szCs w:val="24"/>
          <w:highlight w:val="white"/>
        </w:rPr>
        <w:t xml:space="preserve">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w:t>
      </w:r>
      <w:r>
        <w:rPr>
          <w:rFonts w:eastAsia="Arial Unicode MS"/>
          <w:bCs w:val="0"/>
          <w:szCs w:val="24"/>
          <w:highlight w:val="white"/>
        </w:rPr>
        <w:t xml:space="preserve">акупок товаров, работ, услуг для обеспечения государственных и муниципальных нужд»;</w:t>
      </w:r>
      <w:r>
        <w:rPr>
          <w:szCs w:val="24"/>
          <w:highlight w:val="white"/>
        </w:rPr>
      </w:r>
    </w:p>
    <w:p>
      <w:pPr>
        <w:pStyle w:val="1192"/>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w:t>
      </w:r>
      <w:r>
        <w:rPr>
          <w:rFonts w:eastAsia="Arial Unicode MS"/>
          <w:bCs w:val="0"/>
          <w:szCs w:val="24"/>
          <w:highlight w:val="white"/>
        </w:rPr>
        <w:t xml:space="preserve">ства;</w:t>
      </w:r>
      <w:r>
        <w:rPr>
          <w:szCs w:val="24"/>
          <w:highlight w:val="white"/>
        </w:rPr>
      </w:r>
    </w:p>
    <w:p>
      <w:pPr>
        <w:pStyle w:val="1192"/>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p>
    <w:p>
      <w:pPr>
        <w:pStyle w:val="1192"/>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p>
    <w:p>
      <w:pPr>
        <w:pStyle w:val="962"/>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
        <w:rPr>
          <w:rFonts w:ascii="Times New Roman" w:hAnsi="Times New Roman" w:cs="Times New Roman"/>
          <w:i w:val="0"/>
          <w:sz w:val="24"/>
          <w:szCs w:val="24"/>
          <w:highlight w:val="white"/>
        </w:rPr>
      </w:r>
    </w:p>
    <w:p>
      <w:pPr>
        <w:pStyle w:val="1188"/>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
        <w:rPr>
          <w:sz w:val="24"/>
          <w:szCs w:val="24"/>
          <w:highlight w:val="white"/>
        </w:rPr>
      </w:r>
    </w:p>
    <w:p>
      <w:pPr>
        <w:pStyle w:val="1193"/>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p>
    <w:p>
      <w:pPr>
        <w:pStyle w:val="1193"/>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w:t>
      </w:r>
      <w:r>
        <w:rPr>
          <w:sz w:val="24"/>
          <w:szCs w:val="24"/>
          <w:highlight w:val="white"/>
          <w:u w:val="single"/>
        </w:rPr>
        <w:t xml:space="preserve">Участник должен подготовить следующие обязательные документы:</w:t>
      </w:r>
      <w:bookmarkEnd w:id="69"/>
      <w:r/>
      <w:r>
        <w:rPr>
          <w:sz w:val="24"/>
          <w:szCs w:val="24"/>
          <w:highlight w:val="white"/>
          <w:u w:val="single"/>
        </w:rPr>
      </w:r>
    </w:p>
    <w:p>
      <w:pPr>
        <w:pStyle w:val="1192"/>
        <w:numPr>
          <w:ilvl w:val="0"/>
          <w:numId w:val="3"/>
        </w:numPr>
        <w:ind w:left="0" w:firstLine="567"/>
        <w:widowControl w:val="off"/>
        <w:tabs>
          <w:tab w:val="left" w:pos="993" w:leader="none"/>
        </w:tabs>
        <w:rPr>
          <w:szCs w:val="24"/>
          <w:highlight w:val="white"/>
        </w:rPr>
      </w:pPr>
      <w:r>
        <w:rPr>
          <w:highlight w:val="white"/>
        </w:rPr>
        <w:t xml:space="preserve">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p>
    <w:p>
      <w:pPr>
        <w:pStyle w:val="1192"/>
        <w:numPr>
          <w:ilvl w:val="0"/>
          <w:numId w:val="3"/>
        </w:numPr>
        <w:ind w:left="0" w:firstLine="567"/>
        <w:widowControl w:val="off"/>
        <w:tabs>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p>
    <w:p>
      <w:pPr>
        <w:pStyle w:val="1192"/>
        <w:numPr>
          <w:ilvl w:val="0"/>
          <w:numId w:val="3"/>
        </w:numPr>
        <w:ind w:left="0" w:firstLine="567"/>
        <w:widowControl w:val="off"/>
        <w:tabs>
          <w:tab w:val="left" w:pos="993" w:leader="none"/>
          <w:tab w:val="left" w:pos="1620" w:leader="none"/>
        </w:tabs>
        <w:rPr>
          <w:szCs w:val="24"/>
          <w:highlight w:val="white"/>
        </w:rPr>
      </w:pPr>
      <w:r>
        <w:rPr>
          <w:highlight w:val="white"/>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w:t>
      </w:r>
      <w:r>
        <w:rPr>
          <w:i/>
          <w:highlight w:val="white"/>
        </w:rPr>
        <w:t xml:space="preserve">яется только на выполнение ПИР, авторский надзор по высоковольтным объектам</w:t>
      </w:r>
      <w:r>
        <w:rPr>
          <w:highlight w:val="white"/>
        </w:rPr>
        <w:t xml:space="preserve">)</w:t>
      </w:r>
      <w:r>
        <w:rPr>
          <w:szCs w:val="24"/>
          <w:highlight w:val="white"/>
        </w:rPr>
      </w:r>
    </w:p>
    <w:p>
      <w:pPr>
        <w:pStyle w:val="1192"/>
        <w:ind w:firstLine="993"/>
        <w:widowControl w:val="off"/>
        <w:tabs>
          <w:tab w:val="left" w:pos="993" w:leader="none"/>
          <w:tab w:val="left" w:pos="1620" w:leader="none"/>
        </w:tabs>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 xml:space="preserve">с учетом требований, изложенных в приложен</w:t>
      </w:r>
      <w:r>
        <w:rPr>
          <w:highlight w:val="white"/>
        </w:rPr>
        <w:t xml:space="preserve">ии №6 к Извещению (</w:t>
      </w:r>
      <w:r>
        <w:rPr>
          <w:i/>
          <w:highlight w:val="white"/>
        </w:rPr>
        <w:t xml:space="preserve">данное требование применяется только на </w:t>
      </w:r>
      <w:r>
        <w:rPr>
          <w:i/>
          <w:highlight w:val="white"/>
        </w:rPr>
        <w:t xml:space="preserve">выполнение СМР по высоковольтным объектам</w:t>
      </w:r>
      <w:r>
        <w:rPr>
          <w:highlight w:val="white"/>
        </w:rPr>
        <w:t xml:space="preserve">).</w:t>
      </w:r>
      <w:r>
        <w:rPr>
          <w:szCs w:val="24"/>
          <w:highlight w:val="white"/>
        </w:rPr>
      </w:r>
    </w:p>
    <w:p>
      <w:pPr>
        <w:pStyle w:val="1192"/>
        <w:ind w:firstLine="993"/>
        <w:tabs>
          <w:tab w:val="left" w:pos="993" w:leader="none"/>
        </w:tabs>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w:t>
      </w:r>
      <w:r>
        <w:rPr>
          <w:szCs w:val="24"/>
          <w:highlight w:val="white"/>
        </w:rPr>
        <w:t xml:space="preserve">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 xml:space="preserve">с учетом требований, изложенных в приложении №6 к Извещению (</w:t>
      </w:r>
      <w:r>
        <w:rPr>
          <w:i/>
          <w:highlight w:val="white"/>
        </w:rPr>
        <w:t xml:space="preserve">данное тре</w:t>
      </w:r>
      <w:r>
        <w:rPr>
          <w:i/>
          <w:highlight w:val="white"/>
        </w:rPr>
        <w:t xml:space="preserve">бование применяется только на выполнение работ «Под ключ» по высоковольтным объектам</w:t>
      </w:r>
      <w:r>
        <w:rPr>
          <w:highlight w:val="white"/>
        </w:rPr>
        <w:t xml:space="preserve">)</w:t>
      </w:r>
      <w:r>
        <w:rPr>
          <w:highlight w:val="white"/>
        </w:rPr>
      </w:r>
    </w:p>
    <w:p>
      <w:pPr>
        <w:pStyle w:val="1192"/>
        <w:ind w:firstLine="993"/>
        <w:tabs>
          <w:tab w:val="left" w:pos="993" w:leader="none"/>
        </w:tabs>
        <w:rPr>
          <w:highlight w:val="white"/>
        </w:rPr>
      </w:pPr>
      <w:r>
        <w:rPr>
          <w:highlight w:val="white"/>
        </w:rPr>
        <w:t xml:space="preserve">г) Сводную таблицу стоимости с приложением соответствующего расчета (</w:t>
      </w:r>
      <w:r>
        <w:rPr>
          <w:i/>
          <w:highlight w:val="white"/>
        </w:rPr>
        <w:t xml:space="preserve">данное требование применяется при указании соответствующего требования в Техническом задании</w:t>
      </w:r>
      <w:r>
        <w:rPr>
          <w:highlight w:val="white"/>
        </w:rPr>
        <w:t xml:space="preserve">).</w:t>
      </w:r>
      <w:r>
        <w:rPr>
          <w:highlight w:val="white"/>
        </w:rPr>
      </w:r>
    </w:p>
    <w:p>
      <w:pPr>
        <w:pStyle w:val="962"/>
        <w:ind w:left="-17" w:right="81" w:firstLine="1010"/>
        <w:jc w:val="both"/>
        <w:spacing w:after="0"/>
        <w:tabs>
          <w:tab w:val="num" w:pos="284" w:leader="none"/>
        </w:tabs>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 xml:space="preserve">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 xml:space="preserve">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w:t>
      </w:r>
      <w:r>
        <w:rPr>
          <w:rFonts w:ascii="Times New Roman" w:hAnsi="Times New Roman" w:cs="Times New Roman"/>
          <w:b w:val="0"/>
          <w:i w:val="0"/>
          <w:sz w:val="24"/>
          <w:szCs w:val="24"/>
          <w:highlight w:val="white"/>
        </w:rPr>
        <w:t xml:space="preserve">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w:t>
      </w:r>
      <w:r>
        <w:rPr>
          <w:rFonts w:ascii="Times New Roman" w:hAnsi="Times New Roman" w:cs="Times New Roman"/>
          <w:b w:val="0"/>
          <w:i w:val="0"/>
          <w:sz w:val="24"/>
          <w:szCs w:val="24"/>
          <w:highlight w:val="white"/>
        </w:rPr>
        <w:t xml:space="preserve">ВУЮЩЕГО ТРЕБОВАНИЯ В ТЕХНИЧЕСКОМ ЗАДАНИИ]</w:t>
      </w:r>
      <w:r>
        <w:rPr>
          <w:rFonts w:ascii="Times New Roman" w:hAnsi="Times New Roman" w:cs="Times New Roman"/>
          <w:b w:val="0"/>
          <w:i w:val="0"/>
          <w:sz w:val="24"/>
          <w:szCs w:val="24"/>
          <w:highlight w:val="white"/>
        </w:rPr>
      </w:r>
    </w:p>
    <w:p>
      <w:pPr>
        <w:jc w:val="center"/>
        <w:rPr>
          <w:bCs/>
          <w:highlight w:val="white"/>
        </w:rPr>
      </w:pPr>
      <w:r>
        <w:rPr>
          <w:bCs/>
          <w:highlight w:val="white"/>
        </w:rPr>
      </w:r>
      <w:r>
        <w:rPr>
          <w:bCs/>
          <w:highlight w:val="white"/>
        </w:rPr>
      </w:r>
    </w:p>
    <w:p>
      <w:pPr>
        <w:jc w:val="center"/>
        <w:rPr>
          <w:bCs/>
          <w:highlight w:val="white"/>
        </w:rPr>
      </w:pPr>
      <w:r>
        <w:rPr>
          <w:bCs/>
          <w:highlight w:val="white"/>
        </w:rPr>
        <w:t xml:space="preserve">Форма Сводной таблицы стоимости</w:t>
      </w:r>
      <w:r>
        <w:rPr>
          <w:bCs/>
          <w:highlight w:val="white"/>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highlight w:val="white"/>
              </w:rPr>
            </w:pPr>
            <w:r>
              <w:rPr>
                <w:b/>
                <w:highlight w:val="white"/>
              </w:rPr>
              <w:t xml:space="preserve">Наименование закупки</w:t>
            </w:r>
            <w:r>
              <w:rPr>
                <w:b/>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highlight w:val="white"/>
              </w:rPr>
            </w:pPr>
            <w:r>
              <w:rPr>
                <w:b/>
                <w:highlight w:val="white"/>
              </w:rPr>
              <w:t xml:space="preserve">Начальная цена закупки, руб. с НДС</w:t>
            </w:r>
            <w:r>
              <w:rPr>
                <w:b/>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highlight w:val="white"/>
              </w:rPr>
            </w:pPr>
            <w:r>
              <w:rPr>
                <w:b/>
                <w:highlight w:val="white"/>
              </w:rPr>
              <w:t xml:space="preserve">Коэффициент тендерного снижения (выражен в долях 1)</w:t>
            </w:r>
            <w:r>
              <w:rPr>
                <w:b/>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highlight w:val="white"/>
              </w:rPr>
            </w:pPr>
            <w:r>
              <w:rPr>
                <w:b/>
                <w:highlight w:val="white"/>
              </w:rPr>
              <w:t xml:space="preserve">Итоговая цена предложения, руб. с НДС</w:t>
            </w:r>
            <w:r>
              <w:rPr>
                <w:b/>
                <w:highlight w:val="white"/>
              </w:rPr>
            </w:r>
          </w:p>
          <w:p>
            <w:pPr>
              <w:jc w:val="center"/>
              <w:rPr>
                <w:b/>
                <w:highlight w:val="white"/>
              </w:rPr>
            </w:pPr>
            <w:r>
              <w:rPr>
                <w:b/>
                <w:highlight w:val="white"/>
              </w:rPr>
              <w:t xml:space="preserve">(гр. 2 х гр. 3)</w:t>
            </w:r>
            <w:r>
              <w:rPr>
                <w:b/>
                <w:highlight w:val="white"/>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highlight w:val="white"/>
              </w:rPr>
            </w:pPr>
            <w:r>
              <w:rPr>
                <w:highlight w:val="white"/>
              </w:rPr>
              <w:t xml:space="preserve">1</w:t>
            </w:r>
            <w:r>
              <w:rPr>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highlight w:val="white"/>
              </w:rPr>
            </w:pPr>
            <w:r>
              <w:rPr>
                <w:highlight w:val="white"/>
              </w:rPr>
              <w:t xml:space="preserve">2</w:t>
            </w:r>
            <w:r>
              <w:rPr>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highlight w:val="white"/>
              </w:rPr>
            </w:pPr>
            <w:r>
              <w:rPr>
                <w:highlight w:val="white"/>
              </w:rPr>
              <w:t xml:space="preserve">3</w:t>
            </w:r>
            <w:r>
              <w:rPr>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highlight w:val="white"/>
              </w:rPr>
            </w:pPr>
            <w:r>
              <w:rPr>
                <w:highlight w:val="white"/>
              </w:rPr>
              <w:t xml:space="preserve">4</w:t>
            </w:r>
            <w:r>
              <w:rPr>
                <w:highlight w:val="white"/>
              </w:rPr>
            </w:r>
          </w:p>
        </w:tc>
      </w:tr>
    </w:tbl>
    <w:p>
      <w:pPr>
        <w:pStyle w:val="1192"/>
        <w:ind w:firstLine="993"/>
        <w:tabs>
          <w:tab w:val="left" w:pos="993" w:leader="none"/>
        </w:tabs>
        <w:rPr>
          <w:highlight w:val="white"/>
        </w:rPr>
      </w:pPr>
      <w:r>
        <w:rPr>
          <w:highlight w:val="white"/>
        </w:rPr>
      </w:r>
      <w:r>
        <w:rPr>
          <w:highlight w:val="white"/>
        </w:rPr>
      </w:r>
    </w:p>
    <w:p>
      <w:pPr>
        <w:pStyle w:val="1193"/>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p>
    <w:p>
      <w:pPr>
        <w:pStyle w:val="1193"/>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w:t>
      </w:r>
      <w:r>
        <w:rPr>
          <w:sz w:val="24"/>
          <w:szCs w:val="24"/>
          <w:highlight w:val="white"/>
        </w:rPr>
        <w:t xml:space="preserve">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w:t>
      </w:r>
      <w:r>
        <w:rPr>
          <w:sz w:val="24"/>
          <w:szCs w:val="24"/>
          <w:highlight w:val="white"/>
        </w:rPr>
        <w:t xml:space="preserve">и прикладывается к Заявке.</w:t>
      </w:r>
      <w:r>
        <w:rPr>
          <w:sz w:val="24"/>
          <w:szCs w:val="24"/>
          <w:highlight w:val="white"/>
        </w:rPr>
      </w:r>
    </w:p>
    <w:p>
      <w:pPr>
        <w:pStyle w:val="1193"/>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r>
        <w:rPr>
          <w:sz w:val="24"/>
          <w:szCs w:val="24"/>
          <w:highlight w:val="white"/>
        </w:rPr>
        <w:t xml:space="preserve">площадке  </w:t>
      </w:r>
      <w:hyperlink r:id="rId24" w:tooltip="http://www.tender.lot-online.ru" w:history="1">
        <w:r>
          <w:rPr>
            <w:rStyle w:val="1131"/>
            <w:highlight w:val="white"/>
          </w:rPr>
          <w:t xml:space="preserve">www.</w:t>
        </w:r>
        <w:r>
          <w:rPr>
            <w:rStyle w:val="1131"/>
            <w:highlight w:val="white"/>
            <w:lang w:val="en-US"/>
          </w:rPr>
          <w:t xml:space="preserve">tender</w:t>
        </w:r>
        <w:r>
          <w:rPr>
            <w:rStyle w:val="1131"/>
            <w:highlight w:val="white"/>
          </w:rPr>
          <w:t xml:space="preserve">.</w:t>
        </w:r>
        <w:r>
          <w:rPr>
            <w:rStyle w:val="1131"/>
            <w:highlight w:val="white"/>
            <w:lang w:val="en-US"/>
          </w:rPr>
          <w:t xml:space="preserve">lot</w:t>
        </w:r>
        <w:r>
          <w:rPr>
            <w:rStyle w:val="1131"/>
            <w:highlight w:val="white"/>
          </w:rPr>
          <w:t xml:space="preserve">-</w:t>
        </w:r>
        <w:r>
          <w:rPr>
            <w:rStyle w:val="1131"/>
            <w:highlight w:val="white"/>
            <w:lang w:val="en-US"/>
          </w:rPr>
          <w:t xml:space="preserve">online</w:t>
        </w:r>
        <w:r>
          <w:rPr>
            <w:rStyle w:val="1131"/>
            <w:highlight w:val="white"/>
          </w:rPr>
          <w:t xml:space="preserve">.</w:t>
        </w:r>
        <w:r>
          <w:rPr>
            <w:rStyle w:val="1131"/>
            <w:highlight w:val="white"/>
          </w:rPr>
          <w:t xml:space="preserve">ru</w:t>
        </w:r>
      </w:hyperlink>
      <w:r>
        <w:rPr>
          <w:sz w:val="24"/>
          <w:szCs w:val="24"/>
          <w:highlight w:val="white"/>
        </w:rPr>
        <w:t xml:space="preserve"> в доступном для прочтения формате (предпочтительнее формат *.</w:t>
      </w:r>
      <w:r>
        <w:rPr>
          <w:sz w:val="24"/>
          <w:szCs w:val="24"/>
          <w:highlight w:val="white"/>
        </w:rPr>
        <w:t xml:space="preserve">pdf</w:t>
      </w:r>
      <w:r>
        <w:rPr>
          <w:sz w:val="24"/>
          <w:szCs w:val="24"/>
          <w:highlight w:val="white"/>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w:t>
      </w:r>
      <w:r>
        <w:rPr>
          <w:i/>
          <w:sz w:val="24"/>
          <w:szCs w:val="24"/>
          <w:highlight w:val="white"/>
        </w:rPr>
        <w:t xml:space="preserve">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r>
        <w:rPr>
          <w:i/>
          <w:sz w:val="24"/>
          <w:szCs w:val="24"/>
          <w:highlight w:val="white"/>
        </w:rPr>
        <w:t xml:space="preserve">т.д</w:t>
      </w:r>
      <w:r>
        <w:rPr>
          <w:sz w:val="24"/>
          <w:szCs w:val="24"/>
          <w:highlight w:val="white"/>
        </w:rPr>
        <w:t xml:space="preserve">). Все файлы не должны иметь защиты от их открытия, копирования их содержимого или их печати. </w:t>
      </w:r>
      <w:r>
        <w:rPr>
          <w:sz w:val="24"/>
          <w:szCs w:val="24"/>
          <w:highlight w:val="white"/>
        </w:rPr>
      </w:r>
    </w:p>
    <w:p>
      <w:pPr>
        <w:pStyle w:val="1193"/>
        <w:numPr>
          <w:ilvl w:val="3"/>
          <w:numId w:val="22"/>
        </w:numPr>
        <w:ind w:left="0" w:firstLine="567"/>
        <w:spacing w:line="240" w:lineRule="auto"/>
        <w:widowControl w:val="off"/>
        <w:tabs>
          <w:tab w:val="left" w:pos="1134" w:leader="none"/>
        </w:tabs>
        <w:rPr>
          <w:sz w:val="24"/>
          <w:szCs w:val="24"/>
          <w:highlight w:val="white"/>
        </w:rPr>
      </w:pPr>
      <w:r>
        <w:rPr>
          <w:bCs/>
          <w:highlight w:val="white"/>
        </w:rPr>
        <w:t xml:space="preserve">В</w:t>
      </w:r>
      <w:r>
        <w:rPr>
          <w:bCs/>
          <w:sz w:val="24"/>
          <w:szCs w:val="24"/>
          <w:highlight w:val="white"/>
        </w:rPr>
        <w:t xml:space="preserve"> случае на</w:t>
      </w:r>
      <w:r>
        <w:rPr>
          <w:bCs/>
          <w:sz w:val="24"/>
          <w:szCs w:val="24"/>
          <w:highlight w:val="white"/>
        </w:rPr>
        <w:t xml:space="preserve">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w:t>
      </w:r>
      <w:r>
        <w:rPr>
          <w:bCs/>
          <w:sz w:val="24"/>
          <w:szCs w:val="24"/>
          <w:highlight w:val="white"/>
        </w:rPr>
        <w:t xml:space="preserve">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 xml:space="preserve">ю</w:t>
      </w:r>
      <w:r>
        <w:rPr>
          <w:bCs/>
          <w:sz w:val="24"/>
          <w:szCs w:val="24"/>
          <w:highlight w:val="white"/>
        </w:rPr>
        <w:t xml:space="preserve">т</w:t>
      </w:r>
      <w:r>
        <w:rPr>
          <w:bCs/>
          <w:highlight w:val="white"/>
        </w:rPr>
        <w:t xml:space="preserve">ся</w:t>
      </w:r>
      <w:r>
        <w:rPr>
          <w:bCs/>
          <w:sz w:val="24"/>
          <w:szCs w:val="24"/>
          <w:highlight w:val="white"/>
        </w:rPr>
        <w:t xml:space="preserve"> не предоставленными. При наличии в заявке участника недостоверных сведений, относя</w:t>
      </w:r>
      <w:r>
        <w:rPr>
          <w:bCs/>
          <w:sz w:val="24"/>
          <w:szCs w:val="24"/>
          <w:highlight w:val="white"/>
        </w:rPr>
        <w:t xml:space="preserve">щихся к обязательным требованиям к участнику, такая заявка подлежит отклонению</w:t>
      </w:r>
      <w:r>
        <w:rPr>
          <w:sz w:val="24"/>
          <w:szCs w:val="24"/>
          <w:highlight w:val="white"/>
        </w:rPr>
        <w:t xml:space="preserve">.</w:t>
      </w:r>
      <w:r>
        <w:rPr>
          <w:sz w:val="24"/>
          <w:szCs w:val="24"/>
          <w:highlight w:val="white"/>
        </w:rPr>
      </w:r>
    </w:p>
    <w:p>
      <w:pPr>
        <w:pStyle w:val="1193"/>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w:t>
      </w:r>
      <w:r>
        <w:rPr>
          <w:sz w:val="24"/>
          <w:szCs w:val="24"/>
          <w:highlight w:val="white"/>
        </w:rPr>
        <w:t xml:space="preserve">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w:t>
      </w:r>
      <w:r>
        <w:rPr>
          <w:sz w:val="24"/>
          <w:szCs w:val="24"/>
          <w:highlight w:val="white"/>
        </w:rPr>
        <w:t xml:space="preserve">иваясь, расходы на перевозку, страхование, уплату таможенных пошлин, налогов и других обязательных платежей.</w:t>
      </w:r>
      <w:r>
        <w:rPr>
          <w:sz w:val="24"/>
          <w:szCs w:val="24"/>
          <w:highlight w:val="white"/>
        </w:rPr>
      </w:r>
    </w:p>
    <w:p>
      <w:pPr>
        <w:pStyle w:val="1193"/>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p>
    <w:p>
      <w:pPr>
        <w:pStyle w:val="1188"/>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
        <w:rPr>
          <w:sz w:val="24"/>
          <w:szCs w:val="24"/>
          <w:highlight w:val="white"/>
        </w:rPr>
      </w:r>
    </w:p>
    <w:p>
      <w:pPr>
        <w:pStyle w:val="1193"/>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p>
    <w:p>
      <w:pPr>
        <w:pStyle w:val="1193"/>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w:t>
      </w:r>
      <w:r>
        <w:rPr>
          <w:sz w:val="24"/>
          <w:szCs w:val="24"/>
          <w:highlight w:val="white"/>
        </w:rPr>
        <w:t xml:space="preserve">м для отклонения Заявки.</w:t>
      </w:r>
      <w:r>
        <w:rPr>
          <w:sz w:val="24"/>
          <w:szCs w:val="24"/>
          <w:highlight w:val="white"/>
        </w:rPr>
      </w:r>
    </w:p>
    <w:p>
      <w:pPr>
        <w:pStyle w:val="1193"/>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p>
    <w:p>
      <w:pPr>
        <w:pStyle w:val="1188"/>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
        <w:rPr>
          <w:sz w:val="24"/>
          <w:szCs w:val="24"/>
          <w:highlight w:val="white"/>
        </w:rPr>
      </w:r>
    </w:p>
    <w:p>
      <w:pPr>
        <w:pStyle w:val="1192"/>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p>
    <w:p>
      <w:pPr>
        <w:pStyle w:val="1192"/>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w:t>
      </w:r>
      <w:r>
        <w:rPr>
          <w:szCs w:val="24"/>
          <w:highlight w:val="white"/>
        </w:rPr>
        <w:t xml:space="preserve">лены на языке оригинала при условии, что к ним приложен перевод этих документов на русский язык (в специально оговоренных случаях — </w:t>
      </w:r>
      <w:r>
        <w:rPr>
          <w:szCs w:val="24"/>
          <w:highlight w:val="white"/>
        </w:rPr>
        <w:t xml:space="preserve">апостилированный</w:t>
      </w:r>
      <w:r>
        <w:rPr>
          <w:szCs w:val="24"/>
          <w:highlight w:val="white"/>
        </w:rPr>
        <w:t xml:space="preserve">). При выявлении расхождений между русским переводом и оригиналом документа на ином языке Организатор будет </w:t>
      </w:r>
      <w:r>
        <w:rPr>
          <w:szCs w:val="24"/>
          <w:highlight w:val="white"/>
        </w:rPr>
        <w:t xml:space="preserve">принимать решение на основании перевода.</w:t>
      </w:r>
      <w:r>
        <w:rPr>
          <w:szCs w:val="24"/>
          <w:highlight w:val="white"/>
        </w:rPr>
      </w:r>
    </w:p>
    <w:p>
      <w:pPr>
        <w:pStyle w:val="1192"/>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p>
    <w:p>
      <w:pPr>
        <w:pStyle w:val="1192"/>
        <w:ind w:left="567" w:firstLine="0"/>
        <w:widowControl w:val="off"/>
        <w:tabs>
          <w:tab w:val="left" w:pos="1134" w:leader="none"/>
        </w:tabs>
        <w:rPr>
          <w:szCs w:val="24"/>
          <w:highlight w:val="white"/>
        </w:rPr>
      </w:pPr>
      <w:r>
        <w:rPr>
          <w:szCs w:val="24"/>
          <w:highlight w:val="white"/>
        </w:rPr>
      </w:r>
      <w:r>
        <w:rPr>
          <w:szCs w:val="24"/>
          <w:highlight w:val="white"/>
        </w:rPr>
      </w:r>
    </w:p>
    <w:p>
      <w:pPr>
        <w:pStyle w:val="1188"/>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
        <w:rPr>
          <w:sz w:val="24"/>
          <w:szCs w:val="24"/>
          <w:highlight w:val="white"/>
        </w:rPr>
      </w:r>
    </w:p>
    <w:p>
      <w:pPr>
        <w:pStyle w:val="1192"/>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w:t>
      </w:r>
      <w:r>
        <w:rPr>
          <w:szCs w:val="24"/>
          <w:highlight w:val="white"/>
        </w:rPr>
        <w:t xml:space="preserve">сключением нижеследующего.</w:t>
      </w:r>
      <w:r>
        <w:rPr>
          <w:szCs w:val="24"/>
          <w:highlight w:val="white"/>
        </w:rPr>
      </w:r>
    </w:p>
    <w:p>
      <w:pPr>
        <w:pStyle w:val="1192"/>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w:t>
      </w:r>
      <w:r>
        <w:rPr>
          <w:szCs w:val="24"/>
          <w:highlight w:val="white"/>
        </w:rPr>
        <w:t xml:space="preserve">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p>
    <w:p>
      <w:pPr>
        <w:pStyle w:val="1192"/>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w:t>
      </w:r>
      <w:r>
        <w:rPr>
          <w:szCs w:val="24"/>
          <w:highlight w:val="white"/>
        </w:rPr>
        <w:t xml:space="preserve">и официального курса валюты.</w:t>
      </w:r>
      <w:r>
        <w:rPr>
          <w:szCs w:val="24"/>
          <w:highlight w:val="white"/>
        </w:rPr>
      </w:r>
    </w:p>
    <w:p>
      <w:pPr>
        <w:pStyle w:val="1192"/>
        <w:ind w:left="567" w:firstLine="0"/>
        <w:widowControl w:val="off"/>
        <w:tabs>
          <w:tab w:val="left" w:pos="1134" w:leader="none"/>
        </w:tabs>
        <w:rPr>
          <w:szCs w:val="24"/>
          <w:highlight w:val="white"/>
        </w:rPr>
      </w:pPr>
      <w:r>
        <w:rPr>
          <w:szCs w:val="24"/>
          <w:highlight w:val="white"/>
        </w:rPr>
      </w:r>
      <w:r>
        <w:rPr>
          <w:szCs w:val="24"/>
          <w:highlight w:val="white"/>
        </w:rPr>
      </w:r>
    </w:p>
    <w:p>
      <w:pPr>
        <w:pStyle w:val="1188"/>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
        <w:rPr>
          <w:sz w:val="24"/>
          <w:szCs w:val="24"/>
          <w:highlight w:val="white"/>
        </w:rPr>
      </w:r>
    </w:p>
    <w:p>
      <w:pPr>
        <w:pStyle w:val="1162"/>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
        <w:rPr>
          <w:highlight w:val="white"/>
        </w:rPr>
      </w:r>
    </w:p>
    <w:p>
      <w:pPr>
        <w:pStyle w:val="1162"/>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
        <w:rPr>
          <w:highlight w:val="white"/>
        </w:rPr>
      </w:r>
    </w:p>
    <w:p>
      <w:pPr>
        <w:pStyle w:val="962"/>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
        <w:rPr>
          <w:rFonts w:ascii="Times New Roman" w:hAnsi="Times New Roman" w:cs="Times New Roman"/>
          <w:i w:val="0"/>
          <w:sz w:val="24"/>
          <w:szCs w:val="24"/>
          <w:highlight w:val="white"/>
        </w:rPr>
      </w:r>
    </w:p>
    <w:p>
      <w:pPr>
        <w:pStyle w:val="1209"/>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p>
    <w:p>
      <w:pPr>
        <w:pStyle w:val="1209"/>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w:t>
      </w:r>
      <w:r>
        <w:rPr>
          <w:sz w:val="24"/>
          <w:szCs w:val="24"/>
          <w:highlight w:val="white"/>
        </w:rPr>
        <w:t xml:space="preserve">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p>
    <w:p>
      <w:pPr>
        <w:pStyle w:val="1209"/>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w:t>
      </w:r>
      <w:r>
        <w:rPr>
          <w:sz w:val="24"/>
          <w:szCs w:val="24"/>
          <w:highlight w:val="white"/>
        </w:rPr>
        <w:t xml:space="preserve">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w:t>
      </w:r>
      <w:r>
        <w:rPr>
          <w:sz w:val="24"/>
          <w:szCs w:val="24"/>
          <w:highlight w:val="white"/>
        </w:rPr>
        <w:t xml:space="preserve">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p>
    <w:p>
      <w:pPr>
        <w:pStyle w:val="1209"/>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w:t>
      </w:r>
      <w:r>
        <w:rPr>
          <w:sz w:val="24"/>
          <w:szCs w:val="24"/>
          <w:highlight w:val="white"/>
        </w:rPr>
        <w:t xml:space="preserve">ором Запроса цен в соответствии с этим.</w:t>
      </w:r>
      <w:r>
        <w:rPr>
          <w:sz w:val="24"/>
          <w:szCs w:val="24"/>
          <w:highlight w:val="white"/>
        </w:rPr>
      </w:r>
    </w:p>
    <w:p>
      <w:pPr>
        <w:pStyle w:val="1209"/>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w:t>
      </w:r>
      <w:r>
        <w:rPr>
          <w:bCs/>
          <w:highlight w:val="white"/>
        </w:rPr>
        <w:t xml:space="preserve">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p>
    <w:p>
      <w:pPr>
        <w:ind w:left="567"/>
        <w:jc w:val="both"/>
        <w:widowControl w:val="off"/>
        <w:rPr>
          <w:bCs/>
          <w:highlight w:val="white"/>
        </w:rPr>
      </w:pPr>
      <w:r>
        <w:rPr>
          <w:bCs/>
          <w:highlight w:val="white"/>
        </w:rPr>
      </w:r>
      <w:r>
        <w:rPr>
          <w:bCs/>
          <w:highlight w:val="white"/>
        </w:rPr>
      </w:r>
    </w:p>
    <w:p>
      <w:pPr>
        <w:pStyle w:val="962"/>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
        <w:rPr>
          <w:rFonts w:ascii="Times New Roman" w:hAnsi="Times New Roman" w:cs="Times New Roman"/>
          <w:bCs w:val="0"/>
          <w:i w:val="0"/>
          <w:iCs w:val="0"/>
          <w:sz w:val="24"/>
          <w:szCs w:val="24"/>
          <w:highlight w:val="white"/>
        </w:rPr>
      </w:r>
    </w:p>
    <w:p>
      <w:pPr>
        <w:pStyle w:val="1209"/>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w:t>
      </w:r>
      <w:r>
        <w:rPr>
          <w:sz w:val="24"/>
          <w:szCs w:val="24"/>
          <w:highlight w:val="white"/>
        </w:rPr>
        <w:t xml:space="preserve">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r>
        <w:rPr>
          <w:sz w:val="24"/>
          <w:szCs w:val="24"/>
          <w:highlight w:val="white"/>
        </w:rPr>
        <w:t xml:space="preserve">Россети</w:t>
      </w:r>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xml:space="preserve">. Сторона, по</w:t>
      </w:r>
      <w:r>
        <w:rPr>
          <w:bCs/>
          <w:sz w:val="24"/>
          <w:szCs w:val="24"/>
          <w:highlight w:val="white"/>
        </w:rPr>
        <w:t xml:space="preserve">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p>
    <w:p>
      <w:pPr>
        <w:pStyle w:val="1209"/>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w:t>
      </w:r>
      <w:r>
        <w:rPr>
          <w:bCs/>
          <w:sz w:val="24"/>
          <w:szCs w:val="24"/>
          <w:highlight w:val="white"/>
        </w:rPr>
        <w:t xml:space="preserve">Организатора в связи с данным Запросом цен в Центральную закупочную комиссию Общества.</w:t>
      </w:r>
      <w:r>
        <w:rPr>
          <w:bCs/>
          <w:sz w:val="24"/>
          <w:szCs w:val="24"/>
          <w:highlight w:val="white"/>
        </w:rPr>
      </w:r>
    </w:p>
    <w:p>
      <w:pPr>
        <w:pStyle w:val="1209"/>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w:t>
      </w:r>
      <w:r>
        <w:rPr>
          <w:sz w:val="24"/>
          <w:szCs w:val="24"/>
          <w:highlight w:val="white"/>
        </w:rPr>
        <w:t xml:space="preserve">ны в Арбитражном суде </w:t>
      </w:r>
      <w:r>
        <w:rPr>
          <w:iCs/>
          <w:sz w:val="24"/>
          <w:szCs w:val="24"/>
          <w:highlight w:val="white"/>
        </w:rPr>
        <w:t xml:space="preserve">г. Москвы</w:t>
      </w:r>
      <w:r>
        <w:rPr>
          <w:sz w:val="24"/>
          <w:szCs w:val="24"/>
          <w:highlight w:val="white"/>
        </w:rPr>
        <w:t xml:space="preserve">. </w:t>
      </w:r>
      <w:r>
        <w:rPr>
          <w:highlight w:val="white"/>
        </w:rPr>
      </w:r>
    </w:p>
    <w:p>
      <w:pPr>
        <w:pStyle w:val="1209"/>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p>
    <w:p>
      <w:pPr>
        <w:pStyle w:val="962"/>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
        <w:rPr>
          <w:rFonts w:ascii="Times New Roman" w:hAnsi="Times New Roman" w:cs="Times New Roman"/>
          <w:bCs w:val="0"/>
          <w:i w:val="0"/>
          <w:iCs w:val="0"/>
          <w:sz w:val="24"/>
          <w:szCs w:val="24"/>
          <w:highlight w:val="white"/>
        </w:rPr>
      </w:r>
    </w:p>
    <w:p>
      <w:pPr>
        <w:pStyle w:val="1209"/>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w:t>
      </w:r>
      <w:r>
        <w:rPr>
          <w:sz w:val="24"/>
          <w:szCs w:val="24"/>
          <w:highlight w:val="white"/>
        </w:rPr>
        <w:t xml:space="preserve">Россети</w:t>
      </w:r>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r>
        <w:rPr>
          <w:sz w:val="24"/>
          <w:szCs w:val="24"/>
          <w:highlight w:val="white"/>
        </w:rPr>
        <w:t xml:space="preserve">Россети</w:t>
      </w:r>
      <w:r>
        <w:rPr>
          <w:sz w:val="24"/>
          <w:szCs w:val="24"/>
          <w:highlight w:val="white"/>
        </w:rPr>
        <w:t xml:space="preserve">»). Ознакомится с антикоррупционной полити</w:t>
      </w:r>
      <w:r>
        <w:rPr>
          <w:sz w:val="24"/>
          <w:szCs w:val="24"/>
          <w:highlight w:val="white"/>
        </w:rPr>
        <w:t xml:space="preserve">кой Общества можно на официальном сайте ПАО «</w:t>
      </w:r>
      <w:r>
        <w:rPr>
          <w:sz w:val="24"/>
          <w:szCs w:val="24"/>
          <w:highlight w:val="white"/>
        </w:rPr>
        <w:t xml:space="preserve">Россети</w:t>
      </w:r>
      <w:r>
        <w:rPr>
          <w:sz w:val="24"/>
          <w:szCs w:val="24"/>
          <w:highlight w:val="white"/>
        </w:rPr>
        <w:t xml:space="preserve">» по адресу: http://www.rosseti.ru/about/anticorruptionpolicy/policy/index.php).</w:t>
      </w:r>
      <w:r>
        <w:rPr>
          <w:sz w:val="24"/>
          <w:szCs w:val="24"/>
          <w:highlight w:val="white"/>
        </w:rPr>
        <w:br w:type="page" w:clear="all"/>
      </w:r>
      <w:r>
        <w:rPr>
          <w:sz w:val="24"/>
          <w:szCs w:val="24"/>
          <w:highlight w:val="white"/>
        </w:rPr>
      </w:r>
    </w:p>
    <w:p>
      <w:pPr>
        <w:pStyle w:val="962"/>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w:t>
      </w:r>
      <w:r>
        <w:rPr>
          <w:rFonts w:ascii="Times New Roman" w:hAnsi="Times New Roman" w:cs="Times New Roman"/>
          <w:highlight w:val="white"/>
        </w:rPr>
        <w:t xml:space="preserve">ки. Подписание договора, обеспечение обязательств по договору.</w:t>
      </w:r>
      <w:bookmarkEnd w:id="93"/>
      <w:r/>
      <w:r>
        <w:rPr>
          <w:rFonts w:ascii="Times New Roman" w:hAnsi="Times New Roman" w:cs="Times New Roman"/>
          <w:highlight w:val="white"/>
        </w:rPr>
      </w:r>
    </w:p>
    <w:p>
      <w:pPr>
        <w:rPr>
          <w:highlight w:val="white"/>
        </w:rPr>
      </w:pPr>
      <w:r>
        <w:rPr>
          <w:highlight w:val="white"/>
        </w:rPr>
      </w:r>
      <w:r>
        <w:rPr>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
        <w:rPr>
          <w:rFonts w:ascii="Times New Roman" w:hAnsi="Times New Roman" w:cs="Times New Roman"/>
          <w:i w:val="0"/>
          <w:sz w:val="24"/>
          <w:szCs w:val="24"/>
          <w:highlight w:val="white"/>
        </w:rPr>
      </w:r>
    </w:p>
    <w:p>
      <w:pPr>
        <w:pStyle w:val="1193"/>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p>
    <w:p>
      <w:pPr>
        <w:pStyle w:val="1193"/>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w:t>
      </w:r>
      <w:r>
        <w:rPr>
          <w:sz w:val="24"/>
          <w:szCs w:val="24"/>
          <w:highlight w:val="white"/>
        </w:rPr>
        <w:t xml:space="preserve">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p>
    <w:p>
      <w:pPr>
        <w:pStyle w:val="1193"/>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w:t>
      </w:r>
      <w:r>
        <w:rPr>
          <w:sz w:val="24"/>
          <w:szCs w:val="24"/>
          <w:highlight w:val="white"/>
        </w:rPr>
        <w:t xml:space="preserve">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w:t>
      </w:r>
      <w:r>
        <w:rPr>
          <w:bCs/>
          <w:iCs/>
          <w:sz w:val="24"/>
          <w:szCs w:val="24"/>
          <w:highlight w:val="white"/>
        </w:rPr>
        <w:t xml:space="preserve">и юридических лиц» от 18.07.2011 № 223-ФЗ</w:t>
      </w:r>
      <w:r>
        <w:rPr>
          <w:sz w:val="24"/>
          <w:szCs w:val="24"/>
          <w:highlight w:val="white"/>
        </w:rPr>
        <w:t xml:space="preserve"> в источниках, указанных в п. 15 Извещения.</w:t>
      </w:r>
      <w:r>
        <w:rPr>
          <w:sz w:val="24"/>
          <w:szCs w:val="24"/>
          <w:highlight w:val="white"/>
        </w:rPr>
      </w:r>
    </w:p>
    <w:p>
      <w:pPr>
        <w:pStyle w:val="1193"/>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w:t>
      </w:r>
      <w:r>
        <w:rPr>
          <w:sz w:val="24"/>
          <w:szCs w:val="24"/>
          <w:highlight w:val="white"/>
        </w:rPr>
        <w:t xml:space="preserve">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p>
    <w:p>
      <w:pPr>
        <w:pStyle w:val="1196"/>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p>
    <w:p>
      <w:pPr>
        <w:pStyle w:val="1196"/>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устанавливается национальный режим закупок товаров российского происхождения, работ, услуг</w:t>
      </w:r>
      <w:r>
        <w:rPr>
          <w:sz w:val="24"/>
          <w:szCs w:val="24"/>
          <w:highlight w:val="white"/>
        </w:rPr>
        <w:t xml:space="preserve">,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w:t>
      </w:r>
      <w:r>
        <w:rPr>
          <w:sz w:val="24"/>
          <w:szCs w:val="24"/>
          <w:highlight w:val="white"/>
        </w:rPr>
        <w:t xml:space="preserve">«О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w:t>
      </w:r>
      <w:r>
        <w:rPr>
          <w:sz w:val="24"/>
          <w:szCs w:val="24"/>
          <w:highlight w:val="white"/>
        </w:rPr>
        <w:t xml:space="preserve">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w:t>
      </w:r>
      <w:r>
        <w:rPr>
          <w:sz w:val="24"/>
          <w:szCs w:val="24"/>
          <w:highlight w:val="white"/>
        </w:rPr>
        <w:t xml:space="preserve">ие мер, устанавливающих:</w:t>
      </w:r>
      <w:r>
        <w:rPr>
          <w:sz w:val="24"/>
          <w:szCs w:val="24"/>
          <w:highlight w:val="white"/>
        </w:rPr>
      </w:r>
    </w:p>
    <w:p>
      <w:pPr>
        <w:pStyle w:val="1209"/>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p>
    <w:p>
      <w:pPr>
        <w:pStyle w:val="1209"/>
        <w:numPr>
          <w:ilvl w:val="0"/>
          <w:numId w:val="0"/>
        </w:numPr>
        <w:ind w:left="567"/>
        <w:spacing w:line="240" w:lineRule="auto"/>
        <w:tabs>
          <w:tab w:val="left" w:pos="851" w:leader="none"/>
        </w:tabs>
        <w:rPr>
          <w:sz w:val="24"/>
          <w:szCs w:val="24"/>
          <w:highlight w:val="white"/>
        </w:rPr>
      </w:pPr>
      <w:r>
        <w:rPr>
          <w:sz w:val="24"/>
          <w:szCs w:val="24"/>
          <w:highlight w:val="white"/>
        </w:rPr>
        <w:t xml:space="preserve">б) </w:t>
      </w:r>
      <w:r>
        <w:rPr>
          <w:sz w:val="24"/>
          <w:szCs w:val="24"/>
          <w:highlight w:val="white"/>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w:t>
      </w:r>
      <w:r>
        <w:rPr>
          <w:sz w:val="24"/>
          <w:szCs w:val="24"/>
          <w:highlight w:val="white"/>
        </w:rPr>
        <w:t xml:space="preserve">язательную долю закупок товаров российского происхождения;</w:t>
      </w:r>
      <w:r>
        <w:rPr>
          <w:sz w:val="24"/>
          <w:szCs w:val="24"/>
          <w:highlight w:val="white"/>
        </w:rPr>
      </w:r>
    </w:p>
    <w:p>
      <w:pPr>
        <w:pStyle w:val="1209"/>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w:t>
      </w:r>
      <w:r>
        <w:rPr>
          <w:sz w:val="24"/>
          <w:szCs w:val="24"/>
          <w:highlight w:val="white"/>
        </w:rPr>
        <w:t xml:space="preserve">аемых российскими лицами.</w:t>
      </w:r>
      <w:r>
        <w:rPr>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w:t>
      </w:r>
      <w:r>
        <w:rPr>
          <w:sz w:val="24"/>
          <w:szCs w:val="24"/>
          <w:highlight w:val="white"/>
        </w:rPr>
        <w:t xml:space="preserve">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w:t>
      </w:r>
      <w:r>
        <w:rPr>
          <w:sz w:val="24"/>
          <w:szCs w:val="24"/>
          <w:highlight w:val="white"/>
        </w:rPr>
        <w:t xml:space="preserve">угой, соответственно выполняемой, оказываемой российским лицом.</w:t>
      </w:r>
      <w:r>
        <w:rPr>
          <w:sz w:val="24"/>
          <w:szCs w:val="24"/>
          <w:highlight w:val="white"/>
        </w:rPr>
      </w:r>
    </w:p>
    <w:p>
      <w:pPr>
        <w:pStyle w:val="1193"/>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p>
    <w:p>
      <w:pPr>
        <w:pStyle w:val="1149"/>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w:t>
      </w:r>
      <w:r>
        <w:rPr>
          <w:rFonts w:ascii="Times New Roman" w:hAnsi="Times New Roman" w:cs="Times New Roman"/>
          <w:b w:val="0"/>
          <w:sz w:val="24"/>
          <w:szCs w:val="24"/>
          <w:highlight w:val="white"/>
        </w:rPr>
        <w:t xml:space="preserve">происходящего из иностранного государства;</w:t>
      </w:r>
      <w:r>
        <w:rPr>
          <w:rFonts w:ascii="Times New Roman" w:hAnsi="Times New Roman" w:cs="Times New Roman"/>
          <w:sz w:val="24"/>
          <w:szCs w:val="24"/>
          <w:highlight w:val="white"/>
        </w:rPr>
      </w:r>
    </w:p>
    <w:p>
      <w:pPr>
        <w:pStyle w:val="1149"/>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
        <w:rPr>
          <w:rFonts w:ascii="Times New Roman" w:hAnsi="Times New Roman" w:cs="Times New Roman"/>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w:t>
      </w:r>
      <w:r>
        <w:rPr>
          <w:sz w:val="24"/>
          <w:szCs w:val="24"/>
          <w:highlight w:val="white"/>
        </w:rPr>
        <w:t xml:space="preserve">е п. 1.7. б) настоящей Документации ограничение закупок товара, не допускаются: </w:t>
      </w:r>
      <w:r>
        <w:rPr>
          <w:sz w:val="24"/>
          <w:szCs w:val="24"/>
          <w:highlight w:val="white"/>
        </w:rPr>
      </w:r>
    </w:p>
    <w:p>
      <w:pPr>
        <w:pStyle w:val="1149"/>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w:t>
      </w:r>
      <w:r>
        <w:rPr>
          <w:rFonts w:ascii="Times New Roman" w:hAnsi="Times New Roman" w:cs="Times New Roman"/>
          <w:b w:val="0"/>
          <w:bCs w:val="0"/>
          <w:sz w:val="24"/>
          <w:szCs w:val="24"/>
          <w:highlight w:val="white"/>
        </w:rPr>
        <w:t xml:space="preserve">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9"/>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w:t>
      </w:r>
      <w:r>
        <w:rPr>
          <w:rFonts w:ascii="Times New Roman" w:hAnsi="Times New Roman" w:cs="Times New Roman"/>
          <w:b w:val="0"/>
          <w:bCs w:val="0"/>
          <w:sz w:val="24"/>
          <w:szCs w:val="24"/>
          <w:highlight w:val="white"/>
        </w:rPr>
        <w:t xml:space="preserve">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
        <w:rPr>
          <w:rFonts w:ascii="Times New Roman" w:hAnsi="Times New Roman" w:cs="Times New Roman"/>
          <w:b w:val="0"/>
          <w:bCs w:val="0"/>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w:t>
      </w:r>
      <w:r>
        <w:rPr>
          <w:sz w:val="24"/>
          <w:szCs w:val="24"/>
          <w:highlight w:val="white"/>
        </w:rPr>
        <w:t xml:space="preserve"> отношении товара российского происхождения: </w:t>
      </w:r>
      <w:r>
        <w:rPr>
          <w:sz w:val="24"/>
          <w:szCs w:val="24"/>
          <w:highlight w:val="white"/>
        </w:rPr>
      </w:r>
    </w:p>
    <w:p>
      <w:pPr>
        <w:pStyle w:val="1149"/>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w:t>
      </w:r>
      <w:r>
        <w:rPr>
          <w:rFonts w:ascii="Times New Roman" w:hAnsi="Times New Roman" w:cs="Times New Roman"/>
          <w:b w:val="0"/>
          <w:bCs w:val="0"/>
          <w:sz w:val="24"/>
          <w:szCs w:val="24"/>
          <w:highlight w:val="white"/>
        </w:rPr>
        <w:t xml:space="preserve">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w:t>
      </w:r>
      <w:r>
        <w:rPr>
          <w:rFonts w:ascii="Times New Roman" w:hAnsi="Times New Roman" w:cs="Times New Roman"/>
          <w:b w:val="0"/>
          <w:bCs w:val="0"/>
          <w:sz w:val="24"/>
          <w:szCs w:val="24"/>
          <w:highlight w:val="white"/>
        </w:rPr>
        <w:t xml:space="preserve">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9"/>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r>
        <w:rPr>
          <w:rFonts w:ascii="Times New Roman" w:hAnsi="Times New Roman" w:cs="Times New Roman"/>
          <w:b w:val="0"/>
          <w:bCs w:val="0"/>
          <w:sz w:val="24"/>
          <w:szCs w:val="24"/>
          <w:highlight w:val="white"/>
        </w:rPr>
        <w:t xml:space="preserve">пп</w:t>
      </w:r>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r>
        <w:rPr>
          <w:rFonts w:ascii="Times New Roman" w:hAnsi="Times New Roman" w:cs="Times New Roman"/>
          <w:b w:val="0"/>
          <w:bCs w:val="0"/>
          <w:sz w:val="24"/>
          <w:szCs w:val="24"/>
          <w:highlight w:val="white"/>
        </w:rPr>
        <w:t xml:space="preserve">пп</w:t>
      </w:r>
      <w:r>
        <w:rPr>
          <w:rFonts w:ascii="Times New Roman" w:hAnsi="Times New Roman" w:cs="Times New Roman"/>
          <w:b w:val="0"/>
          <w:bCs w:val="0"/>
          <w:sz w:val="24"/>
          <w:szCs w:val="24"/>
          <w:highlight w:val="white"/>
        </w:rPr>
        <w:t xml:space="preserve">.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9"/>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w:t>
      </w:r>
      <w:r>
        <w:rPr>
          <w:rFonts w:ascii="Times New Roman" w:hAnsi="Times New Roman" w:cs="Times New Roman"/>
          <w:b w:val="0"/>
          <w:bCs w:val="0"/>
          <w:sz w:val="24"/>
          <w:szCs w:val="24"/>
          <w:highlight w:val="white"/>
        </w:rPr>
        <w:t xml:space="preserve">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
        <w:rPr>
          <w:rFonts w:ascii="Times New Roman" w:hAnsi="Times New Roman" w:cs="Times New Roman"/>
          <w:b w:val="0"/>
          <w:bCs w:val="0"/>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w:t>
      </w:r>
      <w:r>
        <w:rPr>
          <w:sz w:val="24"/>
          <w:szCs w:val="24"/>
          <w:highlight w:val="white"/>
        </w:rPr>
        <w:t xml:space="preserve"> закупки работ, услуг, соответственно выполняемых, оказываемых иностранным лицом, не допускаются:</w:t>
      </w:r>
      <w:r>
        <w:rPr>
          <w:sz w:val="24"/>
          <w:szCs w:val="24"/>
          <w:highlight w:val="white"/>
        </w:rPr>
      </w:r>
    </w:p>
    <w:p>
      <w:pPr>
        <w:pStyle w:val="1149"/>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bookmarkEnd w:id="103"/>
      <w:r/>
      <w:r>
        <w:rPr>
          <w:rFonts w:ascii="Times New Roman" w:hAnsi="Times New Roman" w:cs="Times New Roman"/>
          <w:sz w:val="24"/>
          <w:szCs w:val="24"/>
          <w:highlight w:val="white"/>
        </w:rPr>
      </w:r>
    </w:p>
    <w:p>
      <w:pPr>
        <w:pStyle w:val="1149"/>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(и</w:t>
      </w:r>
      <w:r>
        <w:rPr>
          <w:rFonts w:ascii="Times New Roman" w:hAnsi="Times New Roman" w:cs="Times New Roman"/>
          <w:b w:val="0"/>
          <w:sz w:val="24"/>
          <w:szCs w:val="24"/>
          <w:highlight w:val="white"/>
        </w:rPr>
        <w:t xml:space="preserve">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r/>
      <w:r>
        <w:rPr>
          <w:rFonts w:ascii="Times New Roman" w:hAnsi="Times New Roman" w:cs="Times New Roman"/>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r>
        <w:rPr>
          <w:sz w:val="24"/>
          <w:szCs w:val="24"/>
          <w:highlight w:val="white"/>
        </w:rPr>
      </w:r>
    </w:p>
    <w:p>
      <w:pPr>
        <w:pStyle w:val="1209"/>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договора с Участник</w:t>
      </w:r>
      <w:r>
        <w:rPr>
          <w:sz w:val="24"/>
          <w:szCs w:val="24"/>
          <w:highlight w:val="white"/>
        </w:rPr>
        <w:t xml:space="preserve">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r>
        <w:rPr>
          <w:sz w:val="24"/>
          <w:szCs w:val="24"/>
          <w:highlight w:val="white"/>
        </w:rPr>
      </w:r>
    </w:p>
    <w:p>
      <w:pPr>
        <w:pStyle w:val="1209"/>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w:t>
      </w:r>
      <w:r>
        <w:rPr>
          <w:sz w:val="24"/>
          <w:szCs w:val="24"/>
          <w:highlight w:val="white"/>
        </w:rPr>
        <w:t xml:space="preserve">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w:t>
      </w:r>
      <w:r>
        <w:rPr>
          <w:sz w:val="24"/>
          <w:szCs w:val="24"/>
          <w:highlight w:val="white"/>
        </w:rPr>
        <w:t xml:space="preserve">аничение, если договор заключен с российским лицом.</w:t>
      </w:r>
      <w:r>
        <w:rPr>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r>
        <w:rPr>
          <w:sz w:val="24"/>
          <w:szCs w:val="24"/>
          <w:highlight w:val="white"/>
        </w:rPr>
      </w:r>
    </w:p>
    <w:p>
      <w:pPr>
        <w:pStyle w:val="1149"/>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w:t>
      </w:r>
      <w:r>
        <w:rPr>
          <w:rFonts w:ascii="Times New Roman" w:hAnsi="Times New Roman" w:cs="Times New Roman"/>
          <w:b w:val="0"/>
          <w:sz w:val="24"/>
          <w:szCs w:val="24"/>
          <w:highlight w:val="white"/>
        </w:rPr>
        <w:t xml:space="preserve">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w:t>
      </w:r>
      <w:r>
        <w:rPr>
          <w:rFonts w:ascii="Times New Roman" w:hAnsi="Times New Roman" w:cs="Times New Roman"/>
          <w:b w:val="0"/>
          <w:sz w:val="24"/>
          <w:szCs w:val="24"/>
          <w:highlight w:val="white"/>
        </w:rPr>
        <w:t xml:space="preserve">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
        <w:rPr>
          <w:rFonts w:ascii="Times New Roman" w:hAnsi="Times New Roman" w:cs="Times New Roman"/>
          <w:sz w:val="24"/>
          <w:szCs w:val="24"/>
          <w:highlight w:val="white"/>
        </w:rPr>
      </w:r>
    </w:p>
    <w:p>
      <w:pPr>
        <w:pStyle w:val="1149"/>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r>
        <w:rPr>
          <w:rFonts w:ascii="Times New Roman" w:hAnsi="Times New Roman" w:cs="Times New Roman"/>
          <w:b w:val="0"/>
          <w:sz w:val="24"/>
          <w:szCs w:val="24"/>
          <w:highlight w:val="white"/>
        </w:rPr>
        <w:t xml:space="preserve">пп</w:t>
      </w:r>
      <w:r>
        <w:rPr>
          <w:rFonts w:ascii="Times New Roman" w:hAnsi="Times New Roman" w:cs="Times New Roman"/>
          <w:b w:val="0"/>
          <w:sz w:val="24"/>
          <w:szCs w:val="24"/>
          <w:highlight w:val="white"/>
        </w:rPr>
        <w:t xml:space="preserve"> а) настоящего пунк</w:t>
      </w:r>
      <w:r>
        <w:rPr>
          <w:rFonts w:ascii="Times New Roman" w:hAnsi="Times New Roman" w:cs="Times New Roman"/>
          <w:b w:val="0"/>
          <w:sz w:val="24"/>
          <w:szCs w:val="24"/>
          <w:highlight w:val="white"/>
        </w:rPr>
        <w:t xml:space="preserve">та, договор заключается без учета снижения либо увеличения ценового предложения, осуществленных в соответствии с </w:t>
      </w:r>
      <w:r>
        <w:rPr>
          <w:rFonts w:ascii="Times New Roman" w:hAnsi="Times New Roman" w:cs="Times New Roman"/>
          <w:b w:val="0"/>
          <w:sz w:val="24"/>
          <w:szCs w:val="24"/>
          <w:highlight w:val="white"/>
        </w:rPr>
        <w:t xml:space="preserve">пп</w:t>
      </w:r>
      <w:r>
        <w:rPr>
          <w:rFonts w:ascii="Times New Roman" w:hAnsi="Times New Roman" w:cs="Times New Roman"/>
          <w:b w:val="0"/>
          <w:sz w:val="24"/>
          <w:szCs w:val="24"/>
          <w:highlight w:val="white"/>
        </w:rPr>
        <w:t xml:space="preserve">. а) настоящего пункта;</w:t>
      </w:r>
      <w:bookmarkEnd w:id="106"/>
      <w:r/>
      <w:r>
        <w:rPr>
          <w:rFonts w:ascii="Times New Roman" w:hAnsi="Times New Roman" w:cs="Times New Roman"/>
          <w:sz w:val="24"/>
          <w:szCs w:val="24"/>
          <w:highlight w:val="white"/>
        </w:rPr>
      </w:r>
    </w:p>
    <w:p>
      <w:pPr>
        <w:pStyle w:val="1149"/>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
        <w:rPr>
          <w:rFonts w:ascii="Times New Roman" w:hAnsi="Times New Roman" w:cs="Times New Roman"/>
          <w:b w:val="0"/>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Предусмотренные Постановлением</w:t>
      </w:r>
      <w:r>
        <w:rPr>
          <w:sz w:val="24"/>
          <w:szCs w:val="24"/>
          <w:highlight w:val="white"/>
        </w:rPr>
        <w:t xml:space="preserve">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w:t>
      </w:r>
      <w:r>
        <w:rPr>
          <w:sz w:val="24"/>
          <w:szCs w:val="24"/>
          <w:highlight w:val="white"/>
        </w:rPr>
        <w:t xml:space="preserve">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w:t>
      </w:r>
      <w:r>
        <w:rPr>
          <w:sz w:val="24"/>
          <w:szCs w:val="24"/>
          <w:highlight w:val="white"/>
        </w:rPr>
        <w:t xml:space="preserve">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w:t>
      </w:r>
      <w:r>
        <w:rPr>
          <w:sz w:val="24"/>
          <w:szCs w:val="24"/>
          <w:highlight w:val="white"/>
        </w:rPr>
        <w:t xml:space="preserve">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p>
    <w:p>
      <w:pPr>
        <w:pStyle w:val="1193"/>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После окончания сро</w:t>
      </w:r>
      <w:r>
        <w:rPr>
          <w:sz w:val="24"/>
          <w:szCs w:val="24"/>
          <w:highlight w:val="white"/>
        </w:rPr>
        <w:t xml:space="preserve">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p>
    <w:p>
      <w:pPr>
        <w:pStyle w:val="1193"/>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w:t>
      </w:r>
      <w:r>
        <w:rPr>
          <w:rFonts w:ascii="Times New Roman" w:hAnsi="Times New Roman" w:cs="Times New Roman"/>
          <w:i w:val="0"/>
          <w:sz w:val="24"/>
          <w:szCs w:val="24"/>
          <w:highlight w:val="white"/>
        </w:rPr>
        <w:t xml:space="preserve">ия</w:t>
      </w:r>
      <w:bookmarkEnd w:id="108"/>
      <w:r>
        <w:rPr>
          <w:rFonts w:ascii="Times New Roman" w:hAnsi="Times New Roman" w:cs="Times New Roman"/>
          <w:i w:val="0"/>
          <w:sz w:val="24"/>
          <w:szCs w:val="24"/>
          <w:highlight w:val="white"/>
        </w:rPr>
        <w:t xml:space="preserve">.</w:t>
      </w:r>
      <w:bookmarkEnd w:id="109"/>
      <w:r/>
      <w:r>
        <w:rPr>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p>
    <w:p>
      <w:pPr>
        <w:pStyle w:val="1195"/>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p>
    <w:p>
      <w:pPr>
        <w:pStyle w:val="1195"/>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p>
    <w:p>
      <w:pPr>
        <w:pStyle w:val="1195"/>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p>
    <w:p>
      <w:pPr>
        <w:pStyle w:val="1195"/>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w:t>
      </w:r>
      <w:r>
        <w:rPr>
          <w:sz w:val="24"/>
          <w:szCs w:val="24"/>
          <w:highlight w:val="white"/>
        </w:rPr>
        <w:t xml:space="preserve">заявки</w:t>
      </w:r>
      <w:r>
        <w:rPr>
          <w:sz w:val="24"/>
          <w:szCs w:val="24"/>
          <w:highlight w:val="white"/>
        </w:rPr>
        <w:t xml:space="preserve"> установленной НМЦ;</w:t>
      </w:r>
      <w:r>
        <w:rPr>
          <w:sz w:val="24"/>
          <w:szCs w:val="24"/>
          <w:highlight w:val="white"/>
        </w:rPr>
      </w:r>
    </w:p>
    <w:p>
      <w:pPr>
        <w:pStyle w:val="1195"/>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рассмотрения заявок участников, в случае если это не приведет к нарушению срок</w:t>
      </w:r>
      <w:r>
        <w:rPr>
          <w:sz w:val="24"/>
          <w:szCs w:val="24"/>
          <w:highlight w:val="white"/>
        </w:rPr>
        <w:t xml:space="preserve">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p>
    <w:p>
      <w:pPr>
        <w:pStyle w:val="1193"/>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w:t>
      </w:r>
      <w:r>
        <w:rPr>
          <w:sz w:val="24"/>
          <w:szCs w:val="24"/>
          <w:highlight w:val="white"/>
        </w:rPr>
        <w:t xml:space="preserve">ника в нечитаемом виде;</w:t>
      </w:r>
      <w:r>
        <w:rPr>
          <w:sz w:val="24"/>
          <w:szCs w:val="24"/>
          <w:highlight w:val="white"/>
        </w:rPr>
      </w:r>
    </w:p>
    <w:p>
      <w:pPr>
        <w:pStyle w:val="1193"/>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p>
    <w:p>
      <w:pPr>
        <w:pStyle w:val="1193"/>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p>
    <w:p>
      <w:pPr>
        <w:pStyle w:val="1193"/>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w:t>
      </w:r>
      <w:r>
        <w:rPr>
          <w:sz w:val="24"/>
          <w:szCs w:val="24"/>
          <w:highlight w:val="white"/>
        </w:rPr>
        <w:t xml:space="preserve">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w:t>
      </w:r>
      <w:r>
        <w:rPr>
          <w:sz w:val="24"/>
          <w:szCs w:val="24"/>
          <w:highlight w:val="white"/>
        </w:rPr>
        <w:t xml:space="preserve">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w:t>
      </w:r>
      <w:r>
        <w:rPr>
          <w:sz w:val="24"/>
          <w:szCs w:val="24"/>
          <w:highlight w:val="white"/>
        </w:rPr>
        <w:t xml:space="preserve">ь заявки (</w:t>
      </w:r>
      <w:r>
        <w:rPr>
          <w:sz w:val="24"/>
          <w:szCs w:val="24"/>
          <w:highlight w:val="white"/>
        </w:rPr>
        <w:t xml:space="preserve">пп</w:t>
      </w:r>
      <w:r>
        <w:rPr>
          <w:sz w:val="24"/>
          <w:szCs w:val="24"/>
          <w:highlight w:val="white"/>
        </w:rPr>
        <w:t xml:space="preserve">.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w:t>
      </w:r>
      <w:r>
        <w:rPr>
          <w:sz w:val="24"/>
          <w:szCs w:val="24"/>
          <w:highlight w:val="white"/>
        </w:rPr>
        <w:t xml:space="preserve">звещения.</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один день) всем Участникам, у которых был</w:t>
      </w:r>
      <w:r>
        <w:rPr>
          <w:sz w:val="24"/>
          <w:szCs w:val="24"/>
          <w:highlight w:val="white"/>
        </w:rPr>
        <w:t xml:space="preserve">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w:t>
      </w:r>
      <w:r>
        <w:rPr>
          <w:sz w:val="24"/>
          <w:szCs w:val="24"/>
          <w:highlight w:val="white"/>
        </w:rPr>
        <w:t xml:space="preserve">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Организатором дополнительных запросов и ответов Участников на данные запросы осуществляется с</w:t>
      </w:r>
      <w:r>
        <w:rPr>
          <w:sz w:val="24"/>
          <w:szCs w:val="24"/>
          <w:highlight w:val="white"/>
        </w:rPr>
        <w:t xml:space="preserve">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w:t>
      </w:r>
      <w:r>
        <w:rPr>
          <w:sz w:val="24"/>
          <w:szCs w:val="24"/>
          <w:highlight w:val="white"/>
        </w:rPr>
        <w:t xml:space="preserve">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r>
        <w:rPr>
          <w:sz w:val="24"/>
          <w:szCs w:val="24"/>
          <w:highlight w:val="white"/>
        </w:rPr>
        <w:t xml:space="preserve">дозапросе</w:t>
      </w:r>
      <w:r>
        <w:rPr>
          <w:sz w:val="24"/>
          <w:szCs w:val="24"/>
          <w:highlight w:val="white"/>
        </w:rPr>
        <w:t xml:space="preserve">.</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оформления Заявки Закупочная комиссия вправе н</w:t>
      </w:r>
      <w:r>
        <w:rPr>
          <w:sz w:val="24"/>
          <w:szCs w:val="24"/>
          <w:highlight w:val="white"/>
        </w:rPr>
        <w:t xml:space="preserve">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w:t>
      </w:r>
      <w:r>
        <w:rPr>
          <w:sz w:val="24"/>
          <w:szCs w:val="24"/>
          <w:highlight w:val="white"/>
        </w:rPr>
        <w:t xml:space="preserve">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77"/>
          <w:sz w:val="24"/>
          <w:szCs w:val="24"/>
          <w:highlight w:val="white"/>
        </w:rPr>
        <w:t xml:space="preserve">в следующих случаях</w:t>
      </w:r>
      <w:r>
        <w:rPr>
          <w:sz w:val="24"/>
          <w:szCs w:val="24"/>
          <w:highlight w:val="white"/>
        </w:rPr>
        <w:t xml:space="preserve">:</w:t>
      </w:r>
      <w:bookmarkEnd w:id="110"/>
      <w:r/>
      <w:bookmarkEnd w:id="111"/>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w:t>
      </w:r>
      <w:r>
        <w:rPr>
          <w:sz w:val="24"/>
          <w:szCs w:val="24"/>
          <w:highlight w:val="white"/>
        </w:rPr>
        <w:t xml:space="preserve">ом перечне работ;</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w:t>
      </w:r>
      <w:r>
        <w:rPr>
          <w:sz w:val="24"/>
          <w:szCs w:val="24"/>
          <w:highlight w:val="white"/>
        </w:rPr>
        <w:t xml:space="preserve">будет заключено несколько договоров и </w:t>
      </w:r>
      <w:r>
        <w:rPr>
          <w:sz w:val="24"/>
          <w:szCs w:val="24"/>
          <w:highlight w:val="white"/>
        </w:rPr>
        <w:t xml:space="preserve">т.п</w:t>
      </w:r>
      <w:r>
        <w:rPr>
          <w:sz w:val="24"/>
          <w:szCs w:val="24"/>
          <w:highlight w:val="white"/>
        </w:rPr>
        <w:t xml:space="preserve">;</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w:t>
      </w:r>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w:t>
      </w:r>
      <w:r>
        <w:rPr>
          <w:sz w:val="24"/>
          <w:szCs w:val="24"/>
          <w:highlight w:val="white"/>
        </w:rPr>
        <w:t xml:space="preserve">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w:t>
      </w:r>
      <w:r>
        <w:rPr>
          <w:sz w:val="24"/>
          <w:szCs w:val="24"/>
          <w:highlight w:val="white"/>
        </w:rPr>
        <w:t xml:space="preserve">ичных расценок со стоимостями, не соответствующими применяемой участником системы налогообложения  и т.д.);</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w:t>
      </w:r>
      <w:r>
        <w:rPr>
          <w:sz w:val="24"/>
          <w:szCs w:val="24"/>
          <w:highlight w:val="white"/>
        </w:rPr>
        <w:t xml:space="preserve">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w:t>
      </w:r>
      <w:r>
        <w:rPr>
          <w:sz w:val="24"/>
          <w:szCs w:val="24"/>
          <w:highlight w:val="white"/>
        </w:rPr>
        <w:t xml:space="preserve">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w:t>
      </w:r>
      <w:r>
        <w:rPr>
          <w:sz w:val="24"/>
          <w:szCs w:val="24"/>
          <w:highlight w:val="white"/>
        </w:rPr>
        <w:t xml:space="preserve"> имеет право признать данное замечание несущественным и допустить заявку участника);</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w:t>
      </w:r>
      <w:r>
        <w:rPr>
          <w:sz w:val="24"/>
          <w:szCs w:val="24"/>
          <w:highlight w:val="white"/>
        </w:rPr>
        <w:t xml:space="preserve">находящихся под иностранным влиянием";</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w:t>
      </w:r>
      <w:r>
        <w:rPr>
          <w:sz w:val="24"/>
          <w:szCs w:val="24"/>
          <w:highlight w:val="white"/>
        </w:rPr>
        <w:t xml:space="preserve">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w:t>
      </w:r>
      <w:r>
        <w:rPr>
          <w:sz w:val="24"/>
          <w:szCs w:val="24"/>
          <w:highlight w:val="white"/>
        </w:rPr>
        <w:t xml:space="preserve"> грамматические ошибки, с исправлением которых не согласился Участник.</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w:t>
      </w:r>
      <w:r>
        <w:rPr>
          <w:sz w:val="24"/>
          <w:szCs w:val="24"/>
          <w:highlight w:val="white"/>
        </w:rPr>
        <w:t xml:space="preserve">1.7. а) настоящей Документации запрета;</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w:t>
      </w:r>
      <w:r>
        <w:rPr>
          <w:sz w:val="24"/>
          <w:szCs w:val="24"/>
          <w:highlight w:val="white"/>
        </w:rPr>
        <w:t xml:space="preserve">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p>
    <w:p>
      <w:pPr>
        <w:pStyle w:val="1195"/>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w:t>
      </w:r>
      <w:r>
        <w:rPr>
          <w:sz w:val="24"/>
          <w:szCs w:val="24"/>
          <w:highlight w:val="white"/>
        </w:rPr>
        <w:t xml:space="preserve">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w:t>
      </w:r>
      <w:r>
        <w:rPr>
          <w:sz w:val="24"/>
          <w:szCs w:val="24"/>
          <w:highlight w:val="white"/>
        </w:rPr>
        <w:t xml:space="preserve">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p>
    <w:p>
      <w:pPr>
        <w:pStyle w:val="1195"/>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w:t>
      </w:r>
      <w:r>
        <w:rPr>
          <w:sz w:val="24"/>
          <w:szCs w:val="24"/>
          <w:highlight w:val="white"/>
        </w:rPr>
        <w:t xml:space="preserve">/или Заявки Участника соответствующей требованиям извещения о закупке;</w:t>
      </w:r>
      <w:r>
        <w:rPr>
          <w:sz w:val="24"/>
          <w:szCs w:val="24"/>
          <w:highlight w:val="white"/>
        </w:rPr>
      </w:r>
    </w:p>
    <w:p>
      <w:pPr>
        <w:pStyle w:val="1195"/>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p>
    <w:p>
      <w:pPr>
        <w:pStyle w:val="1193"/>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w:t>
      </w:r>
      <w:r>
        <w:rPr>
          <w:sz w:val="24"/>
          <w:szCs w:val="24"/>
          <w:highlight w:val="white"/>
        </w:rPr>
        <w:t xml:space="preserve">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w:t>
      </w:r>
      <w:r>
        <w:rPr>
          <w:sz w:val="24"/>
          <w:szCs w:val="24"/>
          <w:highlight w:val="white"/>
        </w:rPr>
        <w:t xml:space="preserve">я, оценки и сопоставления заявок повторно с учетом выявленных нарушений.</w:t>
      </w:r>
      <w:r>
        <w:rPr>
          <w:sz w:val="24"/>
          <w:szCs w:val="24"/>
          <w:highlight w:val="white"/>
        </w:rPr>
      </w:r>
    </w:p>
    <w:p>
      <w:pPr>
        <w:pStyle w:val="1195"/>
        <w:numPr>
          <w:ilvl w:val="0"/>
          <w:numId w:val="0"/>
        </w:numPr>
        <w:spacing w:line="240" w:lineRule="auto"/>
        <w:widowControl w:val="off"/>
        <w:rPr>
          <w:sz w:val="24"/>
          <w:szCs w:val="24"/>
          <w:highlight w:val="white"/>
        </w:rPr>
      </w:pPr>
      <w:r>
        <w:rPr>
          <w:sz w:val="24"/>
          <w:szCs w:val="24"/>
          <w:highlight w:val="white"/>
        </w:rPr>
      </w:r>
      <w:r>
        <w:rPr>
          <w:sz w:val="24"/>
          <w:szCs w:val="24"/>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p>
    <w:p>
      <w:pPr>
        <w:pStyle w:val="1193"/>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p>
    <w:p>
      <w:pPr>
        <w:pStyle w:val="1193"/>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p>
    <w:p>
      <w:pPr>
        <w:pStyle w:val="1193"/>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w:t>
      </w:r>
      <w:r>
        <w:rPr>
          <w:sz w:val="24"/>
          <w:szCs w:val="24"/>
          <w:highlight w:val="white"/>
        </w:rPr>
        <w:t xml:space="preserve">ранжировке</w:t>
      </w:r>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w:t>
      </w:r>
      <w:r>
        <w:rPr>
          <w:sz w:val="24"/>
          <w:szCs w:val="24"/>
          <w:highlight w:val="white"/>
        </w:rPr>
        <w:t xml:space="preserve">явок (чем выше цена, тем ниже место). </w:t>
      </w:r>
      <w:r>
        <w:rPr>
          <w:sz w:val="24"/>
          <w:szCs w:val="24"/>
          <w:highlight w:val="white"/>
        </w:rPr>
      </w:r>
    </w:p>
    <w:p>
      <w:pPr>
        <w:pStyle w:val="1193"/>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p>
    <w:p>
      <w:pPr>
        <w:pStyle w:val="1193"/>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w:t>
      </w:r>
      <w:r>
        <w:rPr>
          <w:sz w:val="24"/>
          <w:szCs w:val="24"/>
          <w:highlight w:val="white"/>
        </w:rPr>
        <w:t xml:space="preserve">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w:t>
      </w:r>
      <w:r>
        <w:rPr>
          <w:sz w:val="24"/>
          <w:szCs w:val="24"/>
          <w:highlight w:val="white"/>
        </w:rPr>
        <w:t xml:space="preserve">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w:t>
      </w:r>
      <w:r>
        <w:rPr>
          <w:sz w:val="24"/>
          <w:szCs w:val="24"/>
          <w:highlight w:val="white"/>
        </w:rPr>
        <w:t xml:space="preserve">й.</w:t>
      </w:r>
      <w:r>
        <w:rPr>
          <w:sz w:val="24"/>
          <w:szCs w:val="24"/>
          <w:highlight w:val="white"/>
        </w:rPr>
      </w:r>
    </w:p>
    <w:p>
      <w:pPr>
        <w:pStyle w:val="1193"/>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w:t>
      </w:r>
      <w:r>
        <w:rPr>
          <w:highlight w:val="white"/>
        </w:rPr>
        <w:t xml:space="preserve">оса цен возможности добровольно повысить предпочтительность их Заявок путем снижения первоначальной, указанной в Заявке, цены.</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w:t>
      </w:r>
      <w:r>
        <w:rPr>
          <w:highlight w:val="white"/>
        </w:rPr>
        <w:t xml:space="preserve">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w:t>
      </w:r>
      <w:r>
        <w:rPr>
          <w:highlight w:val="white"/>
        </w:rPr>
        <w:t xml:space="preserve">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w:t>
      </w:r>
      <w:r>
        <w:rPr>
          <w:highlight w:val="white"/>
        </w:rPr>
        <w:t xml:space="preserve">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r>
        <w:rPr>
          <w:highlight w:val="white"/>
        </w:rPr>
        <w:t xml:space="preserve">непредоставления</w:t>
      </w:r>
      <w:r>
        <w:rPr>
          <w:highlight w:val="white"/>
        </w:rPr>
        <w:t xml:space="preserve"> данного документа/данных документов Участник считается не принявшим участи</w:t>
      </w:r>
      <w:r>
        <w:rPr>
          <w:highlight w:val="white"/>
        </w:rPr>
        <w:t xml:space="preserve">е в переторжке.</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w:t>
      </w:r>
      <w:r>
        <w:rPr>
          <w:highlight w:val="white"/>
        </w:rPr>
        <w:t xml:space="preserve">овавшим в процедуре переторжки, его Заявка остается действующей с ранее объявленной ценой.</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w:t>
      </w:r>
      <w:r>
        <w:rPr>
          <w:highlight w:val="white"/>
        </w:rPr>
        <w:t xml:space="preserve">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w:t>
      </w:r>
      <w:r>
        <w:rPr>
          <w:highlight w:val="white"/>
        </w:rPr>
        <w:t xml:space="preserve">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w:t>
      </w:r>
      <w:r>
        <w:rPr>
          <w:highlight w:val="white"/>
        </w:rPr>
        <w:t xml:space="preserve">онала ЭТП.</w:t>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w:t>
      </w:r>
      <w:r>
        <w:rPr>
          <w:highlight w:val="white"/>
        </w:rPr>
        <w:t xml:space="preserve">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10 минут до момента окончани</w:t>
      </w:r>
      <w:r>
        <w:rPr>
          <w:iCs/>
          <w:highlight w:val="white"/>
        </w:rPr>
        <w:t xml:space="preserve">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w:t>
      </w:r>
      <w:r>
        <w:rPr>
          <w:iCs/>
          <w:highlight w:val="white"/>
        </w:rPr>
        <w:t xml:space="preserve">не будет продлеваться, если в течение последних 10 минут не поступит ни одного нового предложения от Участников.</w:t>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w:t>
      </w:r>
      <w:r>
        <w:rPr>
          <w:highlight w:val="white"/>
        </w:rPr>
        <w:t xml:space="preserve">, а также дата и время проведения повторных процедур переторжек указывается на сайте ЭТП, </w:t>
      </w:r>
      <w:r>
        <w:rPr>
          <w:highlight w:val="white"/>
        </w:rPr>
        <w:t xml:space="preserve">информация</w:t>
      </w:r>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 xml:space="preserve">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 при наличии времени для их проведения при наступлении одного из следующих обстоятельств:</w:t>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w:t>
      </w:r>
      <w:r>
        <w:rPr>
          <w:iCs/>
          <w:highlight w:val="white"/>
        </w:rPr>
        <w:t xml:space="preserve">ору закупки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любым допущенным участником к процедуре переторжки средствами ЭТП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запроса, оформленного на фирменном бла</w:t>
      </w:r>
      <w:r>
        <w:rPr>
          <w:iCs/>
          <w:highlight w:val="white"/>
        </w:rPr>
        <w:t xml:space="preserve">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w:t>
      </w:r>
      <w:r>
        <w:rPr>
          <w:iCs/>
          <w:highlight w:val="white"/>
        </w:rPr>
        <w:t xml:space="preserve">адрес Организатора иным способом, не указанным в п. 4.8, а также оформленные с нарушением установленного порядка, не подлежат рассмотрению.</w:t>
      </w:r>
      <w:r>
        <w:rPr>
          <w:iCs/>
          <w:highlight w:val="white"/>
        </w:rPr>
      </w:r>
    </w:p>
    <w:p>
      <w:pPr>
        <w:pStyle w:val="1193"/>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w:t>
      </w:r>
      <w:r>
        <w:rPr>
          <w:highlight w:val="white"/>
        </w:rPr>
        <w:t xml:space="preserve">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p>
    <w:p>
      <w:pPr>
        <w:pStyle w:val="1208"/>
        <w:numPr>
          <w:ilvl w:val="0"/>
          <w:numId w:val="0"/>
        </w:numPr>
        <w:ind w:firstLine="567"/>
        <w:widowControl w:val="off"/>
        <w:tabs>
          <w:tab w:val="left" w:pos="1134" w:leader="none"/>
        </w:tabs>
        <w:rPr>
          <w:sz w:val="24"/>
          <w:szCs w:val="24"/>
          <w:highlight w:val="white"/>
        </w:rPr>
      </w:pPr>
      <w:r>
        <w:rPr>
          <w:sz w:val="24"/>
          <w:szCs w:val="24"/>
          <w:highlight w:val="white"/>
        </w:rPr>
        <w:t xml:space="preserve">а) если по окончании срока подачи заявок подана тольк</w:t>
      </w:r>
      <w:r>
        <w:rPr>
          <w:sz w:val="24"/>
          <w:szCs w:val="24"/>
          <w:highlight w:val="white"/>
        </w:rPr>
        <w:t xml:space="preserve">о одна Заявка или не подано ни одной Заявки;</w:t>
      </w:r>
      <w:r>
        <w:rPr>
          <w:sz w:val="24"/>
          <w:szCs w:val="24"/>
          <w:highlight w:val="white"/>
        </w:rPr>
      </w:r>
    </w:p>
    <w:p>
      <w:pPr>
        <w:pStyle w:val="1208"/>
        <w:numPr>
          <w:ilvl w:val="0"/>
          <w:numId w:val="0"/>
        </w:numPr>
        <w:ind w:firstLine="567"/>
        <w:widowControl w:val="off"/>
        <w:tabs>
          <w:tab w:val="left" w:pos="1134" w:leader="none"/>
        </w:tabs>
        <w:rPr>
          <w:sz w:val="24"/>
          <w:szCs w:val="24"/>
          <w:highlight w:val="white"/>
        </w:rPr>
      </w:pPr>
      <w:r/>
      <w:bookmarkStart w:id="117" w:name="_Ref510770463"/>
      <w:r>
        <w:rPr>
          <w:sz w:val="24"/>
          <w:szCs w:val="24"/>
          <w:highlight w:val="white"/>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highlight w:val="white"/>
        </w:rPr>
      </w:r>
    </w:p>
    <w:p>
      <w:pPr>
        <w:pStyle w:val="1208"/>
        <w:numPr>
          <w:ilvl w:val="0"/>
          <w:numId w:val="0"/>
        </w:numPr>
        <w:ind w:firstLine="567"/>
        <w:widowControl w:val="off"/>
        <w:tabs>
          <w:tab w:val="left" w:pos="1134" w:leader="none"/>
        </w:tabs>
        <w:rPr>
          <w:sz w:val="24"/>
          <w:szCs w:val="24"/>
          <w:highlight w:val="white"/>
        </w:rPr>
      </w:pPr>
      <w:r>
        <w:rPr>
          <w:sz w:val="24"/>
          <w:szCs w:val="24"/>
          <w:highlight w:val="white"/>
        </w:rPr>
        <w:t xml:space="preserve">в) </w:t>
      </w:r>
      <w:bookmarkEnd w:id="117"/>
      <w:r>
        <w:rPr>
          <w:sz w:val="24"/>
          <w:szCs w:val="24"/>
          <w:highlight w:val="white"/>
        </w:rPr>
        <w:t xml:space="preserve">если по результатам рассмотрения Заявок принято решение о допуске только одного Участни</w:t>
      </w:r>
      <w:r>
        <w:rPr>
          <w:sz w:val="24"/>
          <w:szCs w:val="24"/>
          <w:highlight w:val="white"/>
        </w:rPr>
        <w:t xml:space="preserve">ка закупки;</w:t>
      </w:r>
      <w:r>
        <w:rPr>
          <w:sz w:val="24"/>
          <w:szCs w:val="24"/>
          <w:highlight w:val="white"/>
        </w:rPr>
      </w:r>
    </w:p>
    <w:p>
      <w:pPr>
        <w:pStyle w:val="1208"/>
        <w:numPr>
          <w:ilvl w:val="0"/>
          <w:numId w:val="0"/>
        </w:numPr>
        <w:ind w:firstLine="567"/>
        <w:widowControl w:val="off"/>
        <w:tabs>
          <w:tab w:val="left" w:pos="1134" w:leader="none"/>
        </w:tabs>
        <w:rPr>
          <w:sz w:val="24"/>
          <w:szCs w:val="24"/>
          <w:highlight w:val="white"/>
        </w:rPr>
      </w:pPr>
      <w:r>
        <w:rPr>
          <w:sz w:val="24"/>
          <w:szCs w:val="24"/>
          <w:highlight w:val="white"/>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highlight w:val="white"/>
        </w:rPr>
      </w:r>
    </w:p>
    <w:p>
      <w:pPr>
        <w:pStyle w:val="1208"/>
        <w:numPr>
          <w:ilvl w:val="0"/>
          <w:numId w:val="0"/>
        </w:numPr>
        <w:ind w:firstLine="567"/>
        <w:widowControl w:val="off"/>
        <w:tabs>
          <w:tab w:val="left" w:pos="1134" w:leader="none"/>
        </w:tabs>
        <w:rPr>
          <w:sz w:val="24"/>
          <w:szCs w:val="24"/>
          <w:highlight w:val="white"/>
        </w:rPr>
      </w:pPr>
      <w:r>
        <w:rPr>
          <w:sz w:val="24"/>
          <w:szCs w:val="24"/>
          <w:highlight w:val="white"/>
        </w:rPr>
        <w:t xml:space="preserve">д) если по результатам проведения закупки отклонены все заявки за исключе</w:t>
      </w:r>
      <w:r>
        <w:rPr>
          <w:sz w:val="24"/>
          <w:szCs w:val="24"/>
          <w:highlight w:val="white"/>
        </w:rPr>
        <w:t xml:space="preserve">нием одной заявки.</w:t>
      </w:r>
      <w:r>
        <w:rPr>
          <w:sz w:val="24"/>
          <w:szCs w:val="24"/>
          <w:highlight w:val="white"/>
        </w:rPr>
      </w:r>
    </w:p>
    <w:p>
      <w:pPr>
        <w:pStyle w:val="1206"/>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w:t>
      </w:r>
      <w:r>
        <w:rPr>
          <w:sz w:val="24"/>
          <w:szCs w:val="24"/>
          <w:highlight w:val="white"/>
        </w:rPr>
        <w:t xml:space="preserve">ь решение о проведении повторной закупки с </w:t>
      </w:r>
      <w:r>
        <w:rPr>
          <w:sz w:val="24"/>
          <w:szCs w:val="24"/>
          <w:highlight w:val="white"/>
        </w:rPr>
        <w:t xml:space="preserve">изменением</w:t>
      </w:r>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p>
    <w:p>
      <w:pPr>
        <w:pStyle w:val="1206"/>
        <w:numPr>
          <w:ilvl w:val="0"/>
          <w:numId w:val="0"/>
        </w:numPr>
        <w:ind w:firstLine="567"/>
        <w:widowControl w:val="off"/>
        <w:tabs>
          <w:tab w:val="left" w:pos="1134" w:leader="none"/>
        </w:tabs>
        <w:rPr>
          <w:sz w:val="24"/>
          <w:szCs w:val="24"/>
          <w:highlight w:val="white"/>
        </w:rPr>
      </w:pPr>
      <w:r>
        <w:rPr>
          <w:sz w:val="24"/>
          <w:szCs w:val="24"/>
          <w:highlight w:val="white"/>
        </w:rPr>
        <w:t xml:space="preserve">а</w:t>
      </w:r>
      <w:r>
        <w:rPr>
          <w:sz w:val="24"/>
          <w:szCs w:val="24"/>
          <w:highlight w:val="white"/>
        </w:rPr>
        <w:t xml:space="preserve">) данный Участник закупки соответствует требованиям Извещения, о чем принято соответствующее решение Закупочной комиссией;</w:t>
      </w:r>
      <w:r>
        <w:rPr>
          <w:sz w:val="24"/>
          <w:szCs w:val="24"/>
          <w:highlight w:val="white"/>
        </w:rPr>
      </w:r>
    </w:p>
    <w:p>
      <w:pPr>
        <w:pStyle w:val="1206"/>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w:t>
      </w:r>
      <w:r>
        <w:rPr>
          <w:sz w:val="24"/>
          <w:szCs w:val="24"/>
          <w:highlight w:val="white"/>
        </w:rPr>
        <w:t xml:space="preserve">я Заказчика условиях (в том числе достигнутых по результатам преддоговорных переговоров в случае их проведения).</w:t>
      </w:r>
      <w:bookmarkEnd w:id="118"/>
      <w:r/>
      <w:r>
        <w:rPr>
          <w:sz w:val="24"/>
          <w:szCs w:val="24"/>
          <w:highlight w:val="white"/>
        </w:rPr>
      </w:r>
    </w:p>
    <w:p>
      <w:pPr>
        <w:pStyle w:val="1208"/>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w:t>
      </w:r>
      <w:r>
        <w:rPr>
          <w:sz w:val="24"/>
          <w:szCs w:val="24"/>
          <w:highlight w:val="white"/>
        </w:rPr>
        <w:t xml:space="preserve">торную процедуру Запроса </w:t>
      </w:r>
      <w:r>
        <w:rPr>
          <w:sz w:val="24"/>
          <w:szCs w:val="24"/>
          <w:highlight w:val="white"/>
        </w:rPr>
        <w:t xml:space="preserve">цен</w:t>
      </w:r>
      <w:r>
        <w:rPr>
          <w:sz w:val="24"/>
          <w:szCs w:val="24"/>
          <w:highlight w:val="white"/>
        </w:rPr>
        <w:t xml:space="preserve"> либо провести закупку иным способом, предусмотренным Положением о закупке Общества.</w:t>
      </w:r>
      <w:bookmarkEnd w:id="119"/>
      <w:r/>
      <w:r>
        <w:rPr>
          <w:sz w:val="24"/>
          <w:szCs w:val="24"/>
          <w:highlight w:val="white"/>
        </w:rPr>
      </w:r>
    </w:p>
    <w:p>
      <w:pPr>
        <w:pStyle w:val="1208"/>
        <w:numPr>
          <w:ilvl w:val="0"/>
          <w:numId w:val="0"/>
        </w:numPr>
        <w:widowControl w:val="off"/>
        <w:rPr>
          <w:sz w:val="24"/>
          <w:szCs w:val="24"/>
          <w:highlight w:val="white"/>
        </w:rPr>
      </w:pPr>
      <w:r>
        <w:rPr>
          <w:sz w:val="24"/>
          <w:szCs w:val="24"/>
          <w:highlight w:val="white"/>
        </w:rPr>
      </w:r>
      <w:r>
        <w:rPr>
          <w:sz w:val="24"/>
          <w:szCs w:val="24"/>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
        <w:rPr>
          <w:rFonts w:ascii="Times New Roman" w:hAnsi="Times New Roman" w:cs="Times New Roman"/>
          <w:i w:val="0"/>
          <w:sz w:val="24"/>
          <w:szCs w:val="24"/>
          <w:highlight w:val="white"/>
        </w:rPr>
      </w:r>
    </w:p>
    <w:p>
      <w:pPr>
        <w:pStyle w:val="1208"/>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w:t>
      </w:r>
      <w:r>
        <w:rPr>
          <w:sz w:val="24"/>
          <w:szCs w:val="24"/>
          <w:highlight w:val="white"/>
        </w:rPr>
        <w:t xml:space="preserve">ным победителем / единственным участником закупки, с которым планируется заключить договор.</w:t>
      </w:r>
      <w:r>
        <w:rPr>
          <w:sz w:val="24"/>
          <w:szCs w:val="24"/>
          <w:highlight w:val="white"/>
        </w:rPr>
      </w:r>
    </w:p>
    <w:p>
      <w:pPr>
        <w:pStyle w:val="1208"/>
        <w:numPr>
          <w:ilvl w:val="0"/>
          <w:numId w:val="32"/>
        </w:numPr>
        <w:ind w:left="0" w:firstLine="567"/>
        <w:widowControl w:val="off"/>
        <w:tabs>
          <w:tab w:val="left" w:pos="993" w:leader="none"/>
        </w:tabs>
        <w:rPr>
          <w:sz w:val="24"/>
          <w:szCs w:val="24"/>
          <w:highlight w:val="white"/>
        </w:rPr>
      </w:pPr>
      <w:r>
        <w:rPr>
          <w:sz w:val="24"/>
          <w:szCs w:val="24"/>
          <w:highlight w:val="white"/>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w:t>
      </w:r>
      <w:r>
        <w:rPr>
          <w:sz w:val="24"/>
          <w:szCs w:val="24"/>
          <w:highlight w:val="white"/>
        </w:rPr>
        <w:t xml:space="preserve">ния преддоговорных переговоров оформляются соглашением / протоколом преддоговорных переговоров.</w:t>
      </w:r>
      <w:r>
        <w:rPr>
          <w:sz w:val="24"/>
          <w:szCs w:val="24"/>
          <w:highlight w:val="white"/>
        </w:rPr>
      </w:r>
    </w:p>
    <w:p>
      <w:pPr>
        <w:pStyle w:val="1208"/>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w:t>
      </w:r>
      <w:r>
        <w:rPr>
          <w:sz w:val="24"/>
          <w:szCs w:val="24"/>
          <w:highlight w:val="white"/>
        </w:rPr>
        <w:t xml:space="preserve">говор. Результаты проведения преддоговорных переговоров оформляются соглашением о проведении преддоговорных переговоров.</w:t>
      </w:r>
      <w:r>
        <w:rPr>
          <w:sz w:val="24"/>
          <w:szCs w:val="24"/>
          <w:highlight w:val="white"/>
        </w:rPr>
      </w:r>
    </w:p>
    <w:p>
      <w:pPr>
        <w:pStyle w:val="1208"/>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w:t>
      </w:r>
      <w:r>
        <w:rPr>
          <w:bCs/>
          <w:highlight w:val="white"/>
        </w:rPr>
        <w:t xml:space="preserve">ключения договора не может составлять более 20 дней со дня принятия решения о заключении договора.</w:t>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w:t>
      </w:r>
      <w:r>
        <w:rPr>
          <w:highlight w:val="white"/>
        </w:rPr>
        <w:t xml:space="preserve">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w:t>
      </w:r>
      <w:r>
        <w:rPr>
          <w:rFonts w:eastAsia="Calibri"/>
          <w:highlight w:val="white"/>
          <w:lang w:eastAsia="en-US"/>
        </w:rPr>
        <w:t xml:space="preserve">ающего заключение договора</w:t>
      </w:r>
      <w:r>
        <w:rPr>
          <w:bCs/>
          <w:highlight w:val="white"/>
        </w:rPr>
        <w:t xml:space="preserve">. </w:t>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w:t>
      </w:r>
      <w:r>
        <w:rPr>
          <w:bCs/>
          <w:highlight w:val="white"/>
        </w:rPr>
        <w:t xml:space="preserve">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w:t>
      </w:r>
      <w:r>
        <w:rPr>
          <w:bCs/>
          <w:highlight w:val="white"/>
        </w:rPr>
        <w:t xml:space="preserve">аниям.</w:t>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p>
    <w:p>
      <w:pPr>
        <w:ind w:left="567"/>
        <w:jc w:val="both"/>
        <w:widowControl w:val="off"/>
        <w:tabs>
          <w:tab w:val="left" w:pos="993" w:leader="none"/>
        </w:tabs>
        <w:rPr>
          <w:bCs/>
          <w:highlight w:val="white"/>
        </w:rPr>
      </w:pPr>
      <w:r>
        <w:rPr>
          <w:highlight w:val="white"/>
        </w:rPr>
        <w:t xml:space="preserve">б) </w:t>
      </w:r>
      <w:r>
        <w:rPr>
          <w:highlight w:val="white"/>
        </w:rPr>
        <w:t xml:space="preserve">непредоставления</w:t>
      </w:r>
      <w:r>
        <w:rPr>
          <w:highlight w:val="white"/>
        </w:rPr>
        <w:t xml:space="preserve"> или предоставление с нарушением условий, установленных дейс</w:t>
      </w:r>
      <w:r>
        <w:rPr>
          <w:highlight w:val="white"/>
        </w:rPr>
        <w:t xml:space="preserve">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p>
    <w:p>
      <w:pPr>
        <w:pStyle w:val="1206"/>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w:t>
      </w:r>
      <w:r>
        <w:rPr>
          <w:bCs/>
          <w:sz w:val="24"/>
          <w:szCs w:val="24"/>
          <w:highlight w:val="white"/>
        </w:rPr>
        <w:t xml:space="preserve">аев, определенных в п. </w:t>
      </w:r>
      <w:r>
        <w:rPr>
          <w:bCs/>
          <w:sz w:val="24"/>
          <w:szCs w:val="24"/>
          <w:highlight w:val="white"/>
        </w:rPr>
        <w:t xml:space="preserve">7.3.,</w:t>
      </w:r>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w:t>
      </w:r>
      <w:r>
        <w:rPr>
          <w:bCs/>
          <w:sz w:val="24"/>
          <w:szCs w:val="24"/>
          <w:highlight w:val="white"/>
        </w:rPr>
        <w:t xml:space="preserve">оящего Приложения. </w:t>
      </w:r>
      <w:r>
        <w:rPr>
          <w:sz w:val="24"/>
          <w:szCs w:val="24"/>
          <w:highlight w:val="white"/>
        </w:rPr>
        <w:t xml:space="preserve">При этом срок для подписания договора будет аналогичен сроку, предусмотренному в п. </w:t>
      </w:r>
      <w:r>
        <w:rPr>
          <w:sz w:val="24"/>
          <w:szCs w:val="24"/>
          <w:highlight w:val="white"/>
        </w:rPr>
        <w:t xml:space="preserve">7.1.,</w:t>
      </w:r>
      <w:r>
        <w:rPr>
          <w:sz w:val="24"/>
          <w:szCs w:val="24"/>
          <w:highlight w:val="white"/>
        </w:rPr>
        <w:t xml:space="preserve"> 7.2. настоящего Приложения.</w:t>
      </w:r>
      <w:r>
        <w:rPr>
          <w:sz w:val="24"/>
          <w:szCs w:val="24"/>
          <w:highlight w:val="white"/>
        </w:rPr>
      </w:r>
    </w:p>
    <w:p>
      <w:pPr>
        <w:pStyle w:val="1206"/>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w:t>
      </w:r>
      <w:r>
        <w:rPr>
          <w:sz w:val="24"/>
          <w:szCs w:val="24"/>
          <w:highlight w:val="white"/>
        </w:rPr>
        <w:t xml:space="preserve">в случаях</w:t>
      </w:r>
      <w:r>
        <w:rPr>
          <w:sz w:val="24"/>
          <w:szCs w:val="24"/>
          <w:highlight w:val="white"/>
        </w:rPr>
        <w:t xml:space="preserve"> определенных в п. 7.4. Заказчик направляет сведени</w:t>
      </w:r>
      <w:r>
        <w:rPr>
          <w:sz w:val="24"/>
          <w:szCs w:val="24"/>
          <w:highlight w:val="white"/>
        </w:rPr>
        <w:t xml:space="preserve">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p>
    <w:p>
      <w:pPr>
        <w:jc w:val="both"/>
        <w:widowControl w:val="off"/>
        <w:rPr>
          <w:highlight w:val="white"/>
        </w:rPr>
      </w:pPr>
      <w:r>
        <w:rPr>
          <w:highlight w:val="white"/>
        </w:rPr>
      </w:r>
      <w:r>
        <w:rPr>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w:t>
      </w:r>
      <w:r>
        <w:rPr>
          <w:bCs/>
          <w:highlight w:val="white"/>
        </w:rPr>
        <w:t xml:space="preserve">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w:t>
      </w:r>
      <w:r>
        <w:rPr>
          <w:bCs/>
          <w:highlight w:val="white"/>
        </w:rPr>
        <w:t xml:space="preserve">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p>
    <w:p>
      <w:pPr>
        <w:jc w:val="both"/>
        <w:widowControl w:val="off"/>
        <w:tabs>
          <w:tab w:val="num" w:pos="1134" w:leader="none"/>
        </w:tabs>
        <w:rPr>
          <w:b/>
          <w:highlight w:val="white"/>
        </w:rPr>
      </w:pPr>
      <w:r>
        <w:rPr>
          <w:b/>
          <w:highlight w:val="white"/>
        </w:rPr>
      </w:r>
      <w:r>
        <w:rPr>
          <w:b/>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
        <w:rPr>
          <w:rFonts w:ascii="Times New Roman" w:hAnsi="Times New Roman" w:cs="Times New Roman"/>
          <w:i w:val="0"/>
          <w:sz w:val="24"/>
          <w:szCs w:val="24"/>
          <w:highlight w:val="white"/>
        </w:rPr>
      </w:r>
    </w:p>
    <w:p>
      <w:pPr>
        <w:pStyle w:val="1162"/>
        <w:numPr>
          <w:ilvl w:val="0"/>
          <w:numId w:val="34"/>
        </w:numPr>
        <w:ind w:left="0" w:firstLine="567"/>
        <w:jc w:val="both"/>
        <w:tabs>
          <w:tab w:val="left" w:pos="1134" w:leader="none"/>
        </w:tabs>
        <w:rPr>
          <w:highlight w:val="white"/>
        </w:rPr>
      </w:pPr>
      <w:r>
        <w:rPr>
          <w:highlight w:val="white"/>
        </w:rPr>
        <w:t xml:space="preserve">Под аномально низкой ц</w:t>
      </w:r>
      <w:r>
        <w:rPr>
          <w:highlight w:val="white"/>
        </w:rPr>
        <w:t xml:space="preserve">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t xml:space="preserve">извещения о закупке) относительно НМЦ, указанной Заказчиком в извещении о проведении запроса цен, на 25 и более процентов. П</w:t>
      </w:r>
      <w:r>
        <w:rPr>
          <w:highlight w:val="white"/>
        </w:rPr>
        <w:t xml:space="preserve">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p>
    <w:p>
      <w:pPr>
        <w:pStyle w:val="1162"/>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победителем (либо единственным </w:t>
      </w:r>
      <w:r>
        <w:rPr>
          <w:highlight w:val="white"/>
        </w:rPr>
        <w:t xml:space="preserve">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p>
    <w:p>
      <w:pPr>
        <w:pStyle w:val="1192"/>
        <w:ind w:firstLine="0"/>
        <w:widowControl w:val="off"/>
        <w:tabs>
          <w:tab w:val="left" w:pos="1276" w:leader="none"/>
        </w:tabs>
        <w:rPr>
          <w:highlight w:val="white"/>
        </w:rPr>
      </w:pP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 xml:space="preserve">(по решению закупочной комиссии при формировании</w:t>
            </w:r>
            <w:r>
              <w:rPr>
                <w:i/>
                <w:sz w:val="20"/>
                <w:szCs w:val="20"/>
                <w:highlight w:val="white"/>
              </w:rPr>
              <w:t xml:space="preserve">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w:t>
            </w:r>
            <w:r>
              <w:rPr>
                <w:sz w:val="20"/>
                <w:szCs w:val="20"/>
                <w:highlight w:val="white"/>
              </w:rPr>
              <w:t xml:space="preserve">я договора в размере аванса, но не менее 10% (десяти процентов) от начальной (максимальной) цены лота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w:t>
            </w:r>
            <w:r>
              <w:rPr>
                <w:sz w:val="20"/>
                <w:szCs w:val="20"/>
                <w:highlight w:val="white"/>
              </w:rPr>
              <w:t xml:space="preserve">олтора) раза, но не менее размера аванса</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highlight w:val="white"/>
              </w:rPr>
            </w:r>
          </w:p>
        </w:tc>
      </w:tr>
    </w:tbl>
    <w:p>
      <w:pPr>
        <w:pStyle w:val="1192"/>
        <w:ind w:firstLine="0"/>
        <w:widowControl w:val="off"/>
        <w:tabs>
          <w:tab w:val="left" w:pos="1276" w:leader="none"/>
        </w:tabs>
        <w:rPr>
          <w:highlight w:val="white"/>
        </w:rPr>
      </w:pPr>
      <w:r>
        <w:rPr>
          <w:highlight w:val="white"/>
        </w:rPr>
      </w:r>
      <w:r>
        <w:rPr>
          <w:highlight w:val="white"/>
        </w:rPr>
      </w:r>
    </w:p>
    <w:p>
      <w:pPr>
        <w:pStyle w:val="1162"/>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p>
    <w:p>
      <w:pPr>
        <w:ind w:left="567"/>
        <w:jc w:val="both"/>
        <w:widowControl w:val="off"/>
        <w:tabs>
          <w:tab w:val="left" w:pos="1134" w:leader="none"/>
        </w:tabs>
        <w:rPr>
          <w:highlight w:val="white"/>
        </w:rPr>
      </w:pPr>
      <w:r>
        <w:rPr>
          <w:highlight w:val="white"/>
        </w:rPr>
      </w:r>
      <w:r>
        <w:rPr>
          <w:highlight w:val="white"/>
        </w:rPr>
      </w:r>
    </w:p>
    <w:p>
      <w:pPr>
        <w:pStyle w:val="962"/>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
        <w:rPr>
          <w:rFonts w:ascii="Times New Roman" w:hAnsi="Times New Roman" w:cs="Times New Roman"/>
          <w:i w:val="0"/>
          <w:sz w:val="24"/>
          <w:szCs w:val="24"/>
          <w:highlight w:val="white"/>
        </w:rPr>
      </w:r>
    </w:p>
    <w:p>
      <w:pPr>
        <w:pStyle w:val="1149"/>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w:t>
      </w:r>
      <w:r>
        <w:rPr>
          <w:rFonts w:ascii="Times New Roman" w:hAnsi="Times New Roman" w:cs="Times New Roman"/>
          <w:b w:val="0"/>
          <w:bCs w:val="0"/>
          <w:sz w:val="24"/>
          <w:szCs w:val="24"/>
          <w:highlight w:val="white"/>
        </w:rPr>
        <w:t xml:space="preserve">ействующим законодательством и Положением о закупке Заказчика.</w:t>
      </w:r>
      <w:bookmarkEnd w:id="134"/>
      <w:r/>
      <w:r>
        <w:rPr>
          <w:rFonts w:ascii="Times New Roman" w:hAnsi="Times New Roman" w:cs="Times New Roman"/>
          <w:b w:val="0"/>
          <w:bCs w:val="0"/>
          <w:sz w:val="24"/>
          <w:szCs w:val="24"/>
          <w:highlight w:val="white"/>
        </w:rPr>
      </w:r>
    </w:p>
    <w:p>
      <w:pPr>
        <w:pStyle w:val="1149"/>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w:t>
      </w:r>
      <w:r>
        <w:rPr>
          <w:rFonts w:ascii="Times New Roman" w:hAnsi="Times New Roman"/>
          <w:b w:val="0"/>
          <w:sz w:val="24"/>
          <w:szCs w:val="24"/>
          <w:highlight w:val="white"/>
        </w:rPr>
        <w:t xml:space="preserve">транного государства товар, в отношении которого установлен </w:t>
      </w:r>
      <w:r>
        <w:rPr>
          <w:rFonts w:ascii="Times New Roman" w:hAnsi="Times New Roman"/>
          <w:b w:val="0"/>
          <w:sz w:val="24"/>
          <w:szCs w:val="24"/>
          <w:highlight w:val="white"/>
        </w:rPr>
        <w:t xml:space="preserve">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w:t>
      </w:r>
      <w:r>
        <w:rPr>
          <w:rFonts w:ascii="Times New Roman" w:hAnsi="Times New Roman"/>
          <w:b w:val="0"/>
          <w:sz w:val="24"/>
          <w:szCs w:val="24"/>
          <w:highlight w:val="white"/>
        </w:rPr>
        <w:t xml:space="preserve">лицо, которое зарегистрировано на территории иностранного государства, в отношении которого установлен данный запрет.</w:t>
      </w:r>
      <w:bookmarkEnd w:id="135"/>
      <w:r/>
      <w:r>
        <w:rPr>
          <w:rFonts w:ascii="Times New Roman" w:hAnsi="Times New Roman"/>
          <w:b w:val="0"/>
          <w:sz w:val="24"/>
          <w:szCs w:val="24"/>
          <w:highlight w:val="white"/>
        </w:rPr>
      </w:r>
    </w:p>
    <w:p>
      <w:pPr>
        <w:pStyle w:val="1149"/>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w:t>
      </w:r>
      <w:r>
        <w:rPr>
          <w:rFonts w:ascii="Times New Roman" w:hAnsi="Times New Roman" w:cs="Times New Roman"/>
          <w:b w:val="0"/>
          <w:bCs w:val="0"/>
          <w:sz w:val="24"/>
          <w:szCs w:val="24"/>
          <w:highlight w:val="white"/>
        </w:rPr>
        <w:t xml:space="preserve">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 xml:space="preserve">перемена подрядчика (исполни</w:t>
      </w:r>
      <w:r>
        <w:rPr>
          <w:rFonts w:ascii="Times New Roman" w:hAnsi="Times New Roman"/>
          <w:b w:val="0"/>
          <w:sz w:val="24"/>
          <w:szCs w:val="24"/>
          <w:highlight w:val="white"/>
        </w:rPr>
        <w:t xml:space="preserve">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w:t>
      </w:r>
      <w:r>
        <w:rPr>
          <w:rFonts w:ascii="Times New Roman" w:hAnsi="Times New Roman"/>
          <w:b w:val="0"/>
          <w:sz w:val="24"/>
          <w:szCs w:val="24"/>
          <w:highlight w:val="white"/>
        </w:rPr>
        <w:t xml:space="preserve">ор заключен с российским лицом.</w:t>
      </w:r>
      <w:bookmarkEnd w:id="136"/>
      <w:r/>
      <w:r>
        <w:rPr>
          <w:rFonts w:ascii="Times New Roman" w:hAnsi="Times New Roman" w:cs="Times New Roman"/>
          <w:b w:val="0"/>
          <w:bCs w:val="0"/>
          <w:sz w:val="24"/>
          <w:szCs w:val="24"/>
          <w:highlight w:val="white"/>
        </w:rPr>
      </w:r>
    </w:p>
    <w:p>
      <w:pPr>
        <w:pStyle w:val="1149"/>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w:t>
      </w:r>
      <w:r>
        <w:rPr>
          <w:rFonts w:ascii="Times New Roman" w:hAnsi="Times New Roman" w:cs="Times New Roman"/>
          <w:b w:val="0"/>
          <w:bCs w:val="0"/>
          <w:sz w:val="24"/>
          <w:szCs w:val="24"/>
          <w:highlight w:val="white"/>
        </w:rPr>
        <w:t xml:space="preserve">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w:t>
      </w:r>
      <w:r>
        <w:rPr>
          <w:rFonts w:ascii="Times New Roman" w:hAnsi="Times New Roman"/>
          <w:b w:val="0"/>
          <w:sz w:val="24"/>
          <w:szCs w:val="24"/>
          <w:highlight w:val="white"/>
        </w:rPr>
        <w:t xml:space="preserve"> договор заключен с российским лицом.</w:t>
      </w:r>
      <w:bookmarkEnd w:id="137"/>
      <w:r/>
      <w:r>
        <w:rPr>
          <w:rFonts w:ascii="Times New Roman" w:hAnsi="Times New Roman" w:cs="Times New Roman"/>
          <w:b w:val="0"/>
          <w:bCs w:val="0"/>
          <w:sz w:val="24"/>
          <w:szCs w:val="24"/>
          <w:highlight w:val="white"/>
        </w:rPr>
      </w:r>
    </w:p>
    <w:p>
      <w:pPr>
        <w:pStyle w:val="962"/>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pStyle w:val="962"/>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p>
    <w:p>
      <w:pPr>
        <w:rPr>
          <w:b/>
          <w:highlight w:val="white"/>
        </w:rPr>
      </w:pPr>
      <w:r>
        <w:rPr>
          <w:b/>
          <w:highlight w:val="white"/>
        </w:rPr>
        <w:t xml:space="preserve">Письмо о подаче оферты</w:t>
      </w:r>
      <w:r>
        <w:rPr>
          <w:b/>
          <w:highlight w:val="white"/>
        </w:rPr>
      </w:r>
    </w:p>
    <w:p>
      <w:pPr>
        <w:jc w:val="both"/>
        <w:widowControl w:val="off"/>
        <w:rPr>
          <w:highlight w:val="white"/>
        </w:rPr>
      </w:pP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p>
          <w:p>
            <w:pPr>
              <w:rPr>
                <w:highlight w:val="white"/>
              </w:rPr>
            </w:pPr>
            <w:r>
              <w:rPr>
                <w:highlight w:val="white"/>
              </w:rPr>
              <w:t xml:space="preserve">«____</w:t>
            </w:r>
            <w:r>
              <w:rPr>
                <w:highlight w:val="white"/>
              </w:rPr>
              <w:t xml:space="preserve">_»_</w:t>
            </w:r>
            <w:r>
              <w:rPr>
                <w:highlight w:val="white"/>
              </w:rPr>
              <w:t xml:space="preserve">_________года №______</w:t>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p>
          <w:p>
            <w:pPr>
              <w:rPr>
                <w:highlight w:val="white"/>
              </w:rPr>
            </w:pPr>
            <w:r>
              <w:rPr>
                <w:highlight w:val="white"/>
              </w:rPr>
              <w:t xml:space="preserve">____________________________________</w:t>
            </w:r>
            <w:r>
              <w:rPr>
                <w:highlight w:val="white"/>
              </w:rPr>
            </w:r>
          </w:p>
        </w:tc>
      </w:tr>
    </w:tbl>
    <w:p>
      <w:pPr>
        <w:jc w:val="both"/>
        <w:widowControl w:val="off"/>
        <w:rPr>
          <w:highlight w:val="white"/>
        </w:rPr>
      </w:pPr>
      <w:r>
        <w:rPr>
          <w:highlight w:val="white"/>
        </w:rPr>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w:t>
      </w:r>
      <w:r>
        <w:rPr>
          <w:highlight w:val="white"/>
        </w:rPr>
        <w:t xml:space="preserve">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p>
    <w:p>
      <w:pPr>
        <w:jc w:val="both"/>
        <w:widowControl w:val="off"/>
        <w:rPr>
          <w:b/>
          <w:i/>
          <w:highlight w:val="white"/>
        </w:rPr>
      </w:pP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62"/>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highlight w:val="white"/>
              </w:rPr>
              <w:t xml:space="preserve">)</w:t>
            </w:r>
            <w:r>
              <w:rPr>
                <w:highlight w:val="white"/>
              </w:rPr>
            </w:r>
          </w:p>
          <w:p>
            <w:pPr>
              <w:pStyle w:val="1162"/>
              <w:ind w:left="709"/>
              <w:rPr>
                <w:highlight w:val="white"/>
              </w:rPr>
            </w:pP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p>
          <w:p>
            <w:pPr>
              <w:ind w:left="709"/>
              <w:rPr>
                <w:highlight w:val="white"/>
              </w:rPr>
            </w:pP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p>
        </w:tc>
      </w:tr>
    </w:tbl>
    <w:p>
      <w:pPr>
        <w:ind w:left="709"/>
        <w:jc w:val="both"/>
        <w:widowControl w:val="off"/>
        <w:rPr>
          <w:highlight w:val="white"/>
        </w:rPr>
      </w:pPr>
      <w:r>
        <w:rPr>
          <w:highlight w:val="white"/>
        </w:rPr>
        <w:t xml:space="preserve">  </w:t>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p>
    <w:p>
      <w:pPr>
        <w:ind w:left="709"/>
        <w:rPr>
          <w:highlight w:val="white"/>
        </w:rPr>
      </w:pPr>
      <w:r>
        <w:rPr>
          <w:highlight w:val="white"/>
        </w:rPr>
      </w:r>
      <w:r>
        <w:rPr>
          <w:highlight w:val="white"/>
        </w:rPr>
      </w:r>
    </w:p>
    <w:p>
      <w:pPr>
        <w:pStyle w:val="1162"/>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w:t>
      </w:r>
      <w:r>
        <w:rPr>
          <w:b/>
          <w:highlight w:val="white"/>
          <w:u w:val="single"/>
        </w:rPr>
        <w:t xml:space="preserve">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проведении закупок на выполнение ПИР, СМР, ПНР.)</w:t>
      </w:r>
      <w:r>
        <w:rPr>
          <w:highlight w:val="white"/>
        </w:rPr>
      </w:r>
    </w:p>
    <w:p>
      <w:pPr>
        <w:ind w:left="709"/>
        <w:rPr>
          <w:highlight w:val="white"/>
        </w:rPr>
      </w:pP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w:t>
      </w:r>
      <w:r>
        <w:rPr>
          <w:i/>
          <w:highlight w:val="white"/>
        </w:rPr>
        <w:t xml:space="preserve">ставлении авансового платежа, в иных случаях не указывается</w:t>
      </w:r>
      <w:r>
        <w:rPr>
          <w:highlight w:val="white"/>
        </w:rPr>
        <w:t xml:space="preserve">)</w:t>
      </w:r>
      <w:r>
        <w:rPr>
          <w:highlight w:val="white"/>
        </w:rPr>
      </w:r>
    </w:p>
    <w:p>
      <w:pPr>
        <w:pStyle w:val="1162"/>
        <w:contextualSpacing/>
        <w:ind w:left="1120"/>
        <w:jc w:val="both"/>
        <w:widowControl w:val="off"/>
        <w:rPr>
          <w:highlight w:val="white"/>
        </w:rPr>
      </w:pPr>
      <w:r>
        <w:rPr>
          <w:highlight w:val="white"/>
        </w:rPr>
      </w:r>
      <w:r>
        <w:rPr>
          <w:highlight w:val="white"/>
        </w:rPr>
      </w:r>
    </w:p>
    <w:p>
      <w:pPr>
        <w:pStyle w:val="1162"/>
        <w:contextualSpacing/>
        <w:ind w:left="1778"/>
        <w:jc w:val="both"/>
        <w:widowControl w:val="off"/>
        <w:rPr>
          <w:highlight w:val="white"/>
        </w:rPr>
      </w:pPr>
      <w:r>
        <w:rPr>
          <w:highlight w:val="white"/>
        </w:rPr>
      </w:r>
      <w:r>
        <w:rPr>
          <w:highlight w:val="white"/>
        </w:rPr>
      </w:r>
    </w:p>
    <w:p>
      <w:pPr>
        <w:pStyle w:val="1162"/>
        <w:numPr>
          <w:ilvl w:val="0"/>
          <w:numId w:val="17"/>
        </w:numPr>
        <w:contextualSpacing/>
        <w:jc w:val="both"/>
        <w:widowControl w:val="off"/>
        <w:rPr>
          <w:highlight w:val="white"/>
        </w:rPr>
      </w:pPr>
      <w:r>
        <w:rPr>
          <w:b/>
          <w:highlight w:val="white"/>
        </w:rPr>
        <w:t xml:space="preserve">Техническое предложение на выполнение </w:t>
      </w:r>
      <w:r>
        <w:rPr>
          <w:b/>
          <w:highlight w:val="white"/>
        </w:rPr>
        <w:t xml:space="preserve">работ:</w:t>
      </w:r>
      <w:r>
        <w:rPr>
          <w:highlight w:val="white"/>
        </w:rPr>
        <w:t xml:space="preserve">_</w:t>
      </w:r>
      <w:r>
        <w:rPr>
          <w:highlight w:val="white"/>
        </w:rPr>
        <w:t xml:space="preserve">________________________________________________*</w:t>
      </w:r>
      <w:r>
        <w:rPr>
          <w:highlight w:val="white"/>
        </w:rPr>
      </w:r>
    </w:p>
    <w:p>
      <w:pPr>
        <w:pStyle w:val="1162"/>
        <w:ind w:left="1120"/>
        <w:jc w:val="both"/>
        <w:widowControl w:val="off"/>
        <w:rPr>
          <w:highlight w:val="white"/>
        </w:rPr>
      </w:pPr>
      <w:r>
        <w:rPr>
          <w:highlight w:val="white"/>
        </w:rPr>
        <w:t xml:space="preserve">(Варианты заполнения: </w:t>
      </w:r>
      <w:r>
        <w:rPr>
          <w:highlight w:val="white"/>
        </w:rPr>
      </w:r>
    </w:p>
    <w:p>
      <w:pPr>
        <w:pStyle w:val="1162"/>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p>
    <w:p>
      <w:pPr>
        <w:pStyle w:val="1162"/>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r>
        <w:rPr>
          <w:highlight w:val="white"/>
        </w:rPr>
        <w:t xml:space="preserve">).</w:t>
      </w:r>
      <w:r>
        <w:rPr>
          <w:highlight w:val="white"/>
        </w:rPr>
      </w:r>
    </w:p>
    <w:p>
      <w:pPr>
        <w:pStyle w:val="1162"/>
        <w:ind w:left="0" w:firstLine="567"/>
        <w:jc w:val="both"/>
        <w:widowControl w:val="off"/>
        <w:rPr>
          <w:bCs/>
          <w:color w:val="000000"/>
          <w:highlight w:val="white"/>
        </w:rPr>
      </w:pP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r>
        <w:rPr>
          <w:i/>
          <w:highlight w:val="white"/>
        </w:rPr>
        <w:t xml:space="preserve">Участника</w:t>
      </w:r>
      <w:r>
        <w:rPr>
          <w:highlight w:val="white"/>
        </w:rPr>
        <w:t xml:space="preserve">)*</w:t>
      </w:r>
      <w:r>
        <w:rPr>
          <w:highlight w:val="white"/>
        </w:rPr>
        <w:t xml:space="preserve"> на дату подачи Заявки применяю следующую систему налогообложения: __________________. </w:t>
      </w:r>
      <w:r>
        <w:rPr>
          <w:i/>
          <w:highlight w:val="white"/>
        </w:rPr>
        <w:t xml:space="preserve">(д</w:t>
      </w:r>
      <w:r>
        <w:rPr>
          <w:i/>
          <w:highlight w:val="white"/>
        </w:rPr>
        <w:t xml:space="preserve">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w:t>
      </w:r>
      <w:r>
        <w:rPr>
          <w:highlight w:val="white"/>
        </w:rPr>
        <w:t xml:space="preserve">_»_</w:t>
      </w:r>
      <w:r>
        <w:rPr>
          <w:highlight w:val="white"/>
        </w:rPr>
        <w:t xml:space="preserve">__________________* </w:t>
      </w:r>
      <w:r>
        <w:rPr>
          <w:highlight w:val="white"/>
        </w:rPr>
        <w:t xml:space="preserve">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срока окончания подачи Заявок»).</w:t>
      </w:r>
      <w:r>
        <w:rPr>
          <w:highlight w:val="white"/>
        </w:rPr>
      </w:r>
    </w:p>
    <w:p>
      <w:pPr>
        <w:jc w:val="both"/>
        <w:widowControl w:val="off"/>
        <w:rPr>
          <w:highlight w:val="white"/>
        </w:rPr>
      </w:pPr>
      <w:r>
        <w:rPr>
          <w:highlight w:val="white"/>
        </w:rPr>
      </w:r>
      <w:r>
        <w:rPr>
          <w:highlight w:val="white"/>
        </w:rPr>
      </w:r>
    </w:p>
    <w:p>
      <w:pPr>
        <w:jc w:val="both"/>
        <w:rPr>
          <w:bCs/>
          <w:highlight w:val="white"/>
          <w:u w:val="single"/>
        </w:rPr>
      </w:pPr>
      <w:r>
        <w:rPr>
          <w:bCs/>
          <w:highlight w:val="white"/>
          <w:u w:val="single"/>
        </w:rPr>
        <w:t xml:space="preserve">Подачей Заявки Участник заверяет и гарантирует Организатору, что:</w:t>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всем без исключения заявленным характеристикам;</w:t>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highlight w:val="white"/>
          <w:u w:val="single"/>
        </w:rPr>
      </w:r>
    </w:p>
    <w:p>
      <w:pPr>
        <w:jc w:val="both"/>
        <w:rPr>
          <w:bCs/>
          <w:highlight w:val="white"/>
          <w:u w:val="single"/>
        </w:rPr>
      </w:pPr>
      <w:r>
        <w:rPr>
          <w:bCs/>
          <w:highlight w:val="white"/>
          <w:u w:val="single"/>
        </w:rPr>
        <w:t xml:space="preserve">- продукция является новой, неиспользованной;</w:t>
      </w:r>
      <w:r>
        <w:rPr>
          <w:bCs/>
          <w:highlight w:val="white"/>
          <w:u w:val="single"/>
        </w:rPr>
      </w:r>
    </w:p>
    <w:p>
      <w:pPr>
        <w:jc w:val="both"/>
        <w:rPr>
          <w:bCs/>
          <w:highlight w:val="white"/>
          <w:u w:val="single"/>
        </w:rPr>
      </w:pPr>
      <w:r>
        <w:rPr>
          <w:bCs/>
          <w:highlight w:val="white"/>
          <w:u w:val="single"/>
        </w:rPr>
        <w:t xml:space="preserve">- продукция имеет гарантийный срок эксплуатации;</w:t>
      </w:r>
      <w:r>
        <w:rPr>
          <w:bCs/>
          <w:highlight w:val="white"/>
          <w:u w:val="single"/>
        </w:rPr>
      </w:r>
    </w:p>
    <w:p>
      <w:pPr>
        <w:jc w:val="both"/>
        <w:rPr>
          <w:bCs/>
          <w:highlight w:val="white"/>
          <w:u w:val="single"/>
        </w:rPr>
      </w:pPr>
      <w:r>
        <w:rPr>
          <w:bCs/>
          <w:highlight w:val="white"/>
          <w:u w:val="single"/>
        </w:rPr>
        <w:t xml:space="preserve">- сроки поставки, выполнения работ /</w:t>
      </w:r>
      <w:r>
        <w:rPr>
          <w:bCs/>
          <w:highlight w:val="white"/>
          <w:u w:val="single"/>
        </w:rPr>
        <w:t xml:space="preserve"> услуг соответствуют требованиям Организатора;</w:t>
      </w:r>
      <w:r>
        <w:rPr>
          <w:bCs/>
          <w:highlight w:val="white"/>
          <w:u w:val="single"/>
        </w:rPr>
      </w:r>
    </w:p>
    <w:p>
      <w:pPr>
        <w:jc w:val="both"/>
        <w:widowControl w:val="off"/>
        <w:rPr>
          <w:highlight w:val="white"/>
        </w:rPr>
      </w:pPr>
      <w:r>
        <w:rPr>
          <w:bCs/>
          <w:highlight w:val="white"/>
          <w:u w:val="single"/>
        </w:rPr>
        <w:t xml:space="preserve">- условия оплаты соответствуют требованиям Организатора.</w:t>
      </w:r>
      <w:r>
        <w:rPr>
          <w:highlight w:val="white"/>
        </w:rPr>
      </w:r>
    </w:p>
    <w:p>
      <w:pPr>
        <w:jc w:val="both"/>
        <w:rPr>
          <w:highlight w:val="white"/>
        </w:rPr>
      </w:pPr>
      <w:r>
        <w:rPr>
          <w:highlight w:val="white"/>
        </w:rPr>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p>
    <w:p>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r>
        <w:rPr>
          <w:highlight w:val="white"/>
        </w:rPr>
      </w:r>
    </w:p>
    <w:p>
      <w:pPr>
        <w:jc w:val="both"/>
        <w:rPr>
          <w:highlight w:val="white"/>
        </w:rPr>
      </w:pPr>
      <w:r>
        <w:rPr>
          <w:highlight w:val="white"/>
        </w:rPr>
        <w:t xml:space="preserve">- заключить договор в</w:t>
      </w:r>
      <w:r>
        <w:rPr>
          <w:highlight w:val="white"/>
        </w:rPr>
        <w:t xml:space="preserve"> установленном в Извещении порядке;</w:t>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Pr>
          <w:highlight w:val="white"/>
        </w:rPr>
      </w:r>
    </w:p>
    <w:p>
      <w:pPr>
        <w:pStyle w:val="1215"/>
        <w:contextualSpacing/>
        <w:spacing w:before="0"/>
        <w:rPr>
          <w:highlight w:val="white"/>
        </w:rPr>
      </w:pPr>
      <w:r>
        <w:rPr>
          <w:sz w:val="24"/>
          <w:highlight w:val="white"/>
        </w:rPr>
        <w:t xml:space="preserve">- не вступать в отношения и/или совер</w:t>
      </w:r>
      <w:r>
        <w:rPr>
          <w:sz w:val="24"/>
          <w:highlight w:val="white"/>
        </w:rPr>
        <w:t xml:space="preserve">шать какие-либо согласованные действия, которые приводят или могут привести к ограничению конкуренции в рамках закупки.</w:t>
      </w:r>
      <w:r>
        <w:rPr>
          <w:highlight w:val="white"/>
        </w:rPr>
      </w:r>
    </w:p>
    <w:p>
      <w:pPr>
        <w:jc w:val="both"/>
        <w:rPr>
          <w:highlight w:val="white"/>
        </w:rPr>
      </w:pP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w:t>
      </w:r>
      <w:r>
        <w:rPr>
          <w:rFonts w:eastAsia="Arial Unicode MS"/>
          <w:highlight w:val="white"/>
        </w:rPr>
        <w:t xml:space="preserve">ыполнит работы, окажет услуги) в сроки, установленные Организатором в Извещении;</w:t>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Pr>
          <w:rFonts w:eastAsia="Arial Unicode MS"/>
          <w:highlight w:val="white"/>
        </w:rPr>
        <w:t xml:space="preserve">Подрядчика на правомочия Подрядчика по заключению и исполнению Договора;</w:t>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w:t>
      </w:r>
      <w:r>
        <w:rPr>
          <w:rFonts w:eastAsia="Arial Unicode MS"/>
          <w:highlight w:val="white"/>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r>
        <w:rPr>
          <w:rFonts w:eastAsia="Arial Unicode MS"/>
          <w:highlight w:val="white"/>
        </w:rPr>
      </w:r>
    </w:p>
    <w:p>
      <w:pPr>
        <w:jc w:val="both"/>
        <w:rPr>
          <w:highlight w:val="white"/>
        </w:rPr>
      </w:pP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w:t>
      </w:r>
      <w:r>
        <w:rPr>
          <w:i/>
          <w:highlight w:val="white"/>
        </w:rPr>
        <w:t xml:space="preserve">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принципов, требований Антикоррупционной политики, действующей в ПАО «</w:t>
      </w:r>
      <w:r>
        <w:rPr>
          <w:highlight w:val="white"/>
        </w:rPr>
        <w:t xml:space="preserve">Россети</w:t>
      </w:r>
      <w:r>
        <w:rPr>
          <w:highlight w:val="white"/>
        </w:rPr>
        <w:t xml:space="preserve"> Московский регион».</w:t>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Я, нижеподписавшийся</w:t>
      </w:r>
      <w:r>
        <w:rPr>
          <w:highlight w:val="white"/>
        </w:rPr>
        <w:t xml:space="preserve">,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w:t>
      </w:r>
      <w:r>
        <w:rPr>
          <w:highlight w:val="white"/>
        </w:rPr>
        <w:t xml:space="preserve">упки и в частности:</w:t>
      </w:r>
      <w:r>
        <w:rPr>
          <w:highlight w:val="white"/>
        </w:rPr>
      </w:r>
    </w:p>
    <w:p>
      <w:pPr>
        <w:jc w:val="both"/>
        <w:rPr>
          <w:highlight w:val="white"/>
        </w:rPr>
      </w:pPr>
      <w:r>
        <w:rPr>
          <w:highlight w:val="white"/>
        </w:rPr>
        <w:t xml:space="preserve">- является полностью правоспособным;</w:t>
      </w:r>
      <w:r>
        <w:rPr>
          <w:highlight w:val="white"/>
        </w:rPr>
      </w:r>
    </w:p>
    <w:p>
      <w:pPr>
        <w:jc w:val="both"/>
        <w:rPr>
          <w:highlight w:val="white"/>
        </w:rPr>
      </w:pPr>
      <w:r>
        <w:rPr>
          <w:highlight w:val="white"/>
        </w:rPr>
        <w:t xml:space="preserve">- является полностью дееспособным;</w:t>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w:t>
      </w:r>
      <w:r>
        <w:rPr>
          <w:highlight w:val="white"/>
        </w:rPr>
        <w:t xml:space="preserve">анных»;</w:t>
      </w:r>
      <w:r>
        <w:rPr>
          <w:highlight w:val="white"/>
        </w:rPr>
      </w:r>
    </w:p>
    <w:p>
      <w:pPr>
        <w:jc w:val="both"/>
        <w:rPr>
          <w:highlight w:val="white"/>
        </w:rPr>
      </w:pPr>
      <w:r>
        <w:rPr>
          <w:highlight w:val="white"/>
        </w:rPr>
        <w:t xml:space="preserve">-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w:t>
      </w:r>
      <w:r>
        <w:rPr>
          <w:highlight w:val="white"/>
        </w:rPr>
        <w:t xml:space="preserve">ельность не приостановлена;</w:t>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w:t>
      </w:r>
      <w:r>
        <w:rPr>
          <w:rFonts w:eastAsia="Arial Unicode MS"/>
          <w:bCs/>
          <w:highlight w:val="white"/>
        </w:rPr>
        <w:t xml:space="preserve">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highlight w:val="white"/>
        </w:rPr>
      </w:r>
    </w:p>
    <w:p>
      <w:pPr>
        <w:jc w:val="both"/>
        <w:widowControl w:val="off"/>
        <w:rPr>
          <w:highlight w:val="white"/>
        </w:rPr>
      </w:pPr>
      <w:r>
        <w:rPr>
          <w:highlight w:val="white"/>
        </w:rPr>
      </w:r>
      <w:r>
        <w:rPr>
          <w:highlight w:val="white"/>
        </w:rPr>
      </w:r>
    </w:p>
    <w:p>
      <w:pPr>
        <w:jc w:val="both"/>
        <w:widowControl w:val="off"/>
        <w:rPr>
          <w:b/>
          <w:i/>
          <w:highlight w:val="white"/>
        </w:rPr>
      </w:pP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p>
    <w:p>
      <w:pPr>
        <w:ind w:firstLine="567"/>
        <w:jc w:val="both"/>
        <w:widowControl w:val="off"/>
        <w:tabs>
          <w:tab w:val="left" w:pos="851" w:leader="none"/>
        </w:tabs>
        <w:rPr>
          <w:highlight w:val="white"/>
        </w:rPr>
      </w:pPr>
      <w:r>
        <w:rPr>
          <w:highlight w:val="white"/>
        </w:rPr>
        <w:t xml:space="preserve">1.</w:t>
      </w:r>
      <w:r>
        <w:rPr>
          <w:highlight w:val="white"/>
        </w:rPr>
        <w:tab/>
        <w:t xml:space="preserve">Анкета Участника закупки;</w:t>
      </w:r>
      <w:r>
        <w:rPr>
          <w:highlight w:val="white"/>
        </w:rPr>
      </w:r>
    </w:p>
    <w:p>
      <w:pPr>
        <w:ind w:firstLine="567"/>
        <w:jc w:val="both"/>
        <w:widowControl w:val="off"/>
        <w:tabs>
          <w:tab w:val="left" w:pos="851" w:leader="none"/>
        </w:tabs>
        <w:rPr>
          <w:highlight w:val="white"/>
        </w:rPr>
      </w:pPr>
      <w:r>
        <w:rPr>
          <w:highlight w:val="white"/>
        </w:rPr>
        <w:t xml:space="preserve">2</w:t>
      </w:r>
      <w:r>
        <w:rPr>
          <w:highlight w:val="white"/>
        </w:rPr>
        <w:t xml:space="preserve">.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надзор, СМР, «Под ключ» по высоковольтным объектам).</w:t>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С уважением,</w:t>
      </w:r>
      <w:r>
        <w:rPr>
          <w:highlight w:val="white"/>
        </w:rPr>
      </w:r>
    </w:p>
    <w:p>
      <w:pPr>
        <w:jc w:val="both"/>
        <w:widowControl w:val="off"/>
        <w:rPr>
          <w:highlight w:val="white"/>
        </w:rPr>
      </w:pPr>
      <w:r>
        <w:rPr>
          <w:highlight w:val="white"/>
        </w:rPr>
        <w:t xml:space="preserve">___________________________                                      ________________________</w:t>
      </w:r>
      <w:r>
        <w:rPr>
          <w:highlight w:val="white"/>
        </w:rPr>
      </w:r>
    </w:p>
    <w:p>
      <w:pPr>
        <w:jc w:val="both"/>
        <w:widowControl w:val="off"/>
        <w:rPr>
          <w:highlight w:val="white"/>
        </w:rPr>
      </w:pPr>
      <w:r>
        <w:rPr>
          <w:b/>
          <w:i/>
          <w:highlight w:val="white"/>
        </w:rPr>
        <w:t xml:space="preserve">(должность ответственного </w:t>
      </w:r>
      <w:r>
        <w:rPr>
          <w:b/>
          <w:i/>
          <w:highlight w:val="white"/>
        </w:rPr>
        <w:t xml:space="preserve">лица)*</w:t>
      </w:r>
      <w:r>
        <w:rPr>
          <w:b/>
          <w:i/>
          <w:highlight w:val="white"/>
        </w:rPr>
        <w:t xml:space="preserve">                            (подпись, расшифровка)*</w:t>
      </w:r>
      <w:r>
        <w:rPr>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pStyle w:val="1193"/>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w:t>
      </w:r>
      <w:r>
        <w:rPr>
          <w:sz w:val="20"/>
          <w:highlight w:val="white"/>
        </w:rPr>
        <w:t xml:space="preserve">х обязательных полей заявка участника подлежит отклонению.</w:t>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p>
    <w:p>
      <w:pPr>
        <w:jc w:val="both"/>
        <w:widowControl w:val="off"/>
        <w:rPr>
          <w:b/>
          <w:highlight w:val="white"/>
        </w:rPr>
      </w:pPr>
      <w:r>
        <w:rPr>
          <w:b/>
          <w:highlight w:val="white"/>
        </w:rPr>
        <w:t xml:space="preserve">Форма 2</w:t>
      </w:r>
      <w:r>
        <w:rPr>
          <w:b/>
          <w:highlight w:val="white"/>
        </w:rPr>
      </w:r>
    </w:p>
    <w:p>
      <w:pPr>
        <w:ind w:firstLine="567"/>
        <w:jc w:val="both"/>
        <w:widowControl w:val="off"/>
        <w:rPr>
          <w:bCs/>
          <w:highlight w:val="white"/>
        </w:rPr>
      </w:pPr>
      <w:r>
        <w:rPr>
          <w:bCs/>
          <w:highlight w:val="white"/>
        </w:rPr>
      </w:r>
      <w:r>
        <w:rPr>
          <w:bCs/>
          <w:highlight w:val="white"/>
        </w:rPr>
      </w:r>
    </w:p>
    <w:p>
      <w:pPr>
        <w:ind w:firstLine="567"/>
        <w:jc w:val="both"/>
        <w:widowControl w:val="off"/>
        <w:rPr>
          <w:bCs/>
          <w:highlight w:val="white"/>
        </w:rPr>
      </w:pPr>
      <w:r>
        <w:rPr>
          <w:bCs/>
          <w:highlight w:val="white"/>
        </w:rPr>
        <w:t xml:space="preserve">от «___</w:t>
      </w:r>
      <w:r>
        <w:rPr>
          <w:bCs/>
          <w:highlight w:val="white"/>
        </w:rPr>
        <w:t xml:space="preserve">_»_</w:t>
      </w:r>
      <w:r>
        <w:rPr>
          <w:bCs/>
          <w:highlight w:val="white"/>
        </w:rPr>
        <w:t xml:space="preserve">____________ г. №__________</w:t>
      </w:r>
      <w:r>
        <w:rPr>
          <w:bCs/>
          <w:highlight w:val="white"/>
        </w:rPr>
      </w:r>
    </w:p>
    <w:p>
      <w:pPr>
        <w:jc w:val="center"/>
        <w:rPr>
          <w:b/>
          <w:highlight w:val="white"/>
        </w:rPr>
      </w:pP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p>
    <w:p>
      <w:pPr>
        <w:jc w:val="center"/>
        <w:widowControl w:val="off"/>
        <w:tabs>
          <w:tab w:val="num" w:pos="1134" w:leader="none"/>
        </w:tabs>
        <w:rPr>
          <w:b/>
          <w:highlight w:val="white"/>
        </w:rPr>
        <w:outlineLvl w:val="1"/>
      </w:pP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w:t>
            </w:r>
            <w:r>
              <w:rPr>
                <w:highlight w:val="white"/>
              </w:rPr>
              <w:t xml:space="preserve">лансу последнего завершенного периода)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w:t>
            </w:r>
            <w:r>
              <w:rPr>
                <w:highlight w:val="white"/>
              </w:rPr>
              <w:t xml:space="preserve">представителя)*</w:t>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w:t>
            </w:r>
            <w:r>
              <w:rPr>
                <w:highlight w:val="white"/>
              </w:rPr>
              <w:t xml:space="preserve">должность)*</w:t>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p>
    <w:p>
      <w:pPr>
        <w:pStyle w:val="1193"/>
        <w:ind w:left="0" w:firstLine="0"/>
        <w:jc w:val="left"/>
        <w:spacing w:line="240" w:lineRule="auto"/>
        <w:tabs>
          <w:tab w:val="left" w:pos="142" w:leader="none"/>
        </w:tabs>
        <w:rPr>
          <w:sz w:val="20"/>
          <w:highlight w:val="white"/>
        </w:rPr>
      </w:pPr>
      <w:r>
        <w:rPr>
          <w:sz w:val="20"/>
          <w:highlight w:val="white"/>
        </w:rPr>
      </w:r>
      <w:r>
        <w:rPr>
          <w:sz w:val="20"/>
          <w:highlight w:val="white"/>
        </w:rPr>
      </w:r>
    </w:p>
    <w:p>
      <w:pPr>
        <w:pStyle w:val="1193"/>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t xml:space="preserve">.</w:t>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706090202050904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1"/>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1"/>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1"/>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1"/>
      <w:rPr>
        <w:rStyle w:val="1165"/>
      </w:rPr>
      <w:framePr w:wrap="around" w:vAnchor="text" w:hAnchor="margin" w:xAlign="right" w:y="1"/>
    </w:pPr>
    <w:r>
      <w:rPr>
        <w:rStyle w:val="1165"/>
      </w:rPr>
      <w:fldChar w:fldCharType="begin"/>
    </w:r>
    <w:r>
      <w:rPr>
        <w:rStyle w:val="1165"/>
      </w:rPr>
      <w:instrText xml:space="preserve">PAGE  </w:instrText>
    </w:r>
    <w:r>
      <w:rPr>
        <w:rStyle w:val="1165"/>
      </w:rPr>
      <w:fldChar w:fldCharType="separate"/>
    </w:r>
    <w:r>
      <w:rPr>
        <w:rStyle w:val="1165"/>
      </w:rPr>
      <w:t xml:space="preserve">1</w:t>
    </w:r>
    <w:r>
      <w:rPr>
        <w:rStyle w:val="1165"/>
      </w:rPr>
      <w:fldChar w:fldCharType="end"/>
    </w:r>
    <w:r>
      <w:rPr>
        <w:rStyle w:val="1165"/>
      </w:rPr>
    </w:r>
  </w:p>
  <w:p>
    <w:pPr>
      <w:pStyle w:val="1001"/>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34"/>
        </w:rPr>
        <w:footnoteRef/>
      </w:r>
      <w:r>
        <w:t xml:space="preserve"> </w:t>
      </w:r>
      <w:r>
        <w:rPr>
          <w:sz w:val="20"/>
          <w:szCs w:val="20"/>
        </w:rPr>
        <w:t xml:space="preserve">Отнесение участника закупки к иностранному агенту п</w:t>
      </w:r>
      <w:r>
        <w:rPr>
          <w:sz w:val="20"/>
          <w:szCs w:val="20"/>
        </w:rPr>
        <w:t xml:space="preserve">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3"/>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3"/>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73"/>
                            <w:ind w:right="17"/>
                            <w:jc w:val="right"/>
                            <w:keepNext/>
                            <w:spacing w:after="0"/>
                            <w:tabs>
                              <w:tab w:val="left" w:pos="5670" w:leader="none"/>
                            </w:tabs>
                          </w:pPr>
                          <w:r>
                            <w:t xml:space="preserve">Утверждено на заседании </w:t>
                          </w:r>
                          <w:r>
                            <w:t xml:space="preserve">Постоянно</w:t>
                          </w:r>
                          <w:r>
                            <w:t xml:space="preserve"> действующей </w:t>
                          </w:r>
                          <w:r/>
                        </w:p>
                        <w:p>
                          <w:pPr>
                            <w:pStyle w:val="1173"/>
                            <w:ind w:right="17"/>
                            <w:jc w:val="right"/>
                            <w:keepNext/>
                            <w:spacing w:after="0"/>
                            <w:tabs>
                              <w:tab w:val="left" w:pos="5670" w:leader="none"/>
                            </w:tabs>
                          </w:pPr>
                          <w:r>
                            <w:t xml:space="preserve">закупочной комиссии филиала ПАО «</w:t>
                          </w:r>
                          <w:r>
                            <w:t xml:space="preserve">Россети</w:t>
                          </w:r>
                          <w:r>
                            <w:t xml:space="preserve"> </w:t>
                          </w:r>
                          <w:r/>
                        </w:p>
                        <w:p>
                          <w:pPr>
                            <w:pStyle w:val="1173"/>
                            <w:ind w:right="17"/>
                            <w:jc w:val="right"/>
                            <w:keepNext/>
                            <w:spacing w:after="0"/>
                            <w:tabs>
                              <w:tab w:val="left" w:pos="5670" w:leader="none"/>
                            </w:tabs>
                          </w:pPr>
                          <w:r>
                            <w:t xml:space="preserve">Московский регион» – Западные электрические сети</w:t>
                          </w:r>
                          <w:r/>
                        </w:p>
                        <w:p>
                          <w:pPr>
                            <w:pStyle w:val="1173"/>
                            <w:ind w:right="17"/>
                            <w:jc w:val="right"/>
                            <w:keepNext/>
                            <w:spacing w:after="0"/>
                            <w:tabs>
                              <w:tab w:val="left" w:pos="5670" w:leader="none"/>
                            </w:tabs>
                          </w:pPr>
                          <w:r>
                            <w:rPr>
                              <w:highlight w:val="white"/>
                            </w:rPr>
                            <w:t xml:space="preserve">Протокол № ЗЭС/571 от 09.07.2026</w:t>
                          </w:r>
                          <w:r/>
                        </w:p>
                        <w:p>
                          <w:pPr>
                            <w:pStyle w:val="1173"/>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p>
                        <w:p>
                          <w:pPr>
                            <w:pStyle w:val="1173"/>
                            <w:ind w:right="17"/>
                            <w:jc w:val="right"/>
                            <w:keepNext/>
                            <w:spacing w:after="0"/>
                            <w:tabs>
                              <w:tab w:val="left" w:pos="5670" w:leader="none"/>
                            </w:tabs>
                            <w:rPr>
                              <w:b/>
                              <w:bCs/>
                            </w:rPr>
                          </w:pP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3"/>
                      <w:ind w:right="17"/>
                      <w:jc w:val="right"/>
                      <w:keepNext/>
                      <w:spacing w:after="0"/>
                      <w:tabs>
                        <w:tab w:val="left" w:pos="5670" w:leader="none"/>
                      </w:tabs>
                    </w:pPr>
                    <w:r>
                      <w:t xml:space="preserve">Утверждено на заседании </w:t>
                    </w:r>
                    <w:r>
                      <w:t xml:space="preserve">Постоянно</w:t>
                    </w:r>
                    <w:r>
                      <w:t xml:space="preserve"> действующей </w:t>
                    </w:r>
                    <w:r/>
                  </w:p>
                  <w:p>
                    <w:pPr>
                      <w:pStyle w:val="1173"/>
                      <w:ind w:right="17"/>
                      <w:jc w:val="right"/>
                      <w:keepNext/>
                      <w:spacing w:after="0"/>
                      <w:tabs>
                        <w:tab w:val="left" w:pos="5670" w:leader="none"/>
                      </w:tabs>
                    </w:pPr>
                    <w:r>
                      <w:t xml:space="preserve">закупочной комиссии филиала ПАО «</w:t>
                    </w:r>
                    <w:r>
                      <w:t xml:space="preserve">Россети</w:t>
                    </w:r>
                    <w:r>
                      <w:t xml:space="preserve"> </w:t>
                    </w:r>
                    <w:r/>
                  </w:p>
                  <w:p>
                    <w:pPr>
                      <w:pStyle w:val="1173"/>
                      <w:ind w:right="17"/>
                      <w:jc w:val="right"/>
                      <w:keepNext/>
                      <w:spacing w:after="0"/>
                      <w:tabs>
                        <w:tab w:val="left" w:pos="5670" w:leader="none"/>
                      </w:tabs>
                    </w:pPr>
                    <w:r>
                      <w:t xml:space="preserve">Московский регион» – Западные электрические сети</w:t>
                    </w:r>
                    <w:r/>
                  </w:p>
                  <w:p>
                    <w:pPr>
                      <w:pStyle w:val="1173"/>
                      <w:ind w:right="17"/>
                      <w:jc w:val="right"/>
                      <w:keepNext/>
                      <w:spacing w:after="0"/>
                      <w:tabs>
                        <w:tab w:val="left" w:pos="5670" w:leader="none"/>
                      </w:tabs>
                    </w:pPr>
                    <w:r>
                      <w:rPr>
                        <w:highlight w:val="white"/>
                      </w:rPr>
                      <w:t xml:space="preserve">Протокол № ЗЭС/571 от 09.07.2026</w:t>
                    </w:r>
                    <w:r/>
                  </w:p>
                  <w:p>
                    <w:pPr>
                      <w:pStyle w:val="1173"/>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p>
                  <w:p>
                    <w:pPr>
                      <w:pStyle w:val="1173"/>
                      <w:ind w:right="17"/>
                      <w:jc w:val="right"/>
                      <w:keepNext/>
                      <w:spacing w:after="0"/>
                      <w:tabs>
                        <w:tab w:val="left" w:pos="5670" w:leader="none"/>
                      </w:tabs>
                      <w:rPr>
                        <w:b/>
                        <w:bCs/>
                      </w:rPr>
                    </w:pP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3"/>
      <w:jc w:val="center"/>
      <w:rPr>
        <w:rStyle w:val="1165"/>
      </w:rPr>
      <w:framePr w:wrap="around" w:vAnchor="text" w:hAnchor="margin" w:xAlign="center" w:y="1"/>
    </w:pPr>
    <w:r>
      <w:rPr>
        <w:rStyle w:val="1165"/>
      </w:rPr>
      <w:fldChar w:fldCharType="begin"/>
    </w:r>
    <w:r>
      <w:rPr>
        <w:rStyle w:val="1165"/>
      </w:rPr>
      <w:instrText xml:space="preserve">PAGE  </w:instrText>
    </w:r>
    <w:r>
      <w:rPr>
        <w:rStyle w:val="1165"/>
      </w:rPr>
      <w:fldChar w:fldCharType="separate"/>
    </w:r>
    <w:r>
      <w:rPr>
        <w:rStyle w:val="1165"/>
      </w:rPr>
      <w:t xml:space="preserve">20</w:t>
    </w:r>
    <w:r>
      <w:rPr>
        <w:rStyle w:val="1165"/>
      </w:rPr>
      <w:fldChar w:fldCharType="end"/>
    </w:r>
    <w:r>
      <w:rPr>
        <w:rStyle w:val="1165"/>
      </w:rPr>
    </w:r>
  </w:p>
  <w:p>
    <w:pPr>
      <w:pStyle w:val="1163"/>
      <w:rPr>
        <w:rStyle w:val="1165"/>
      </w:rPr>
      <w:framePr w:wrap="around" w:vAnchor="text" w:hAnchor="margin" w:xAlign="center" w:y="1"/>
    </w:pPr>
    <w:r/>
    <w:r>
      <w:rPr>
        <w:rStyle w:val="1165"/>
      </w:rPr>
    </w:r>
  </w:p>
  <w:p>
    <w:pPr>
      <w:pStyle w:val="1163"/>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3"/>
      <w:rPr>
        <w:rStyle w:val="1165"/>
      </w:rPr>
      <w:framePr w:wrap="around" w:vAnchor="text" w:hAnchor="margin" w:xAlign="center" w:y="1"/>
    </w:pPr>
    <w:r>
      <w:rPr>
        <w:rStyle w:val="1165"/>
      </w:rPr>
      <w:fldChar w:fldCharType="begin"/>
    </w:r>
    <w:r>
      <w:rPr>
        <w:rStyle w:val="1165"/>
      </w:rPr>
      <w:instrText xml:space="preserve">PAGE  </w:instrText>
    </w:r>
    <w:r>
      <w:rPr>
        <w:rStyle w:val="1165"/>
      </w:rPr>
      <w:fldChar w:fldCharType="separate"/>
    </w:r>
    <w:r>
      <w:rPr>
        <w:rStyle w:val="1165"/>
      </w:rPr>
      <w:t xml:space="preserve">1</w:t>
    </w:r>
    <w:r>
      <w:rPr>
        <w:rStyle w:val="1165"/>
      </w:rPr>
      <w:fldChar w:fldCharType="end"/>
    </w:r>
    <w:r>
      <w:rPr>
        <w:rStyle w:val="1165"/>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
    <w:multiLevelType w:val="hybridMultilevel"/>
    <w:lvl w:ilvl="0">
      <w:start w:val="1"/>
      <w:numFmt w:val="decimal"/>
      <w:pStyle w:val="1196"/>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2">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3">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4">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5">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6">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8">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13">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4">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5">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6">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09"/>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2204" w:hanging="360"/>
        <w:tabs>
          <w:tab w:val="num" w:pos="2204"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88"/>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8">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9">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20">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1">
    <w:multiLevelType w:val="hybridMultilevel"/>
    <w:lvl w:ilvl="0">
      <w:start w:val="1"/>
      <w:numFmt w:val="bullet"/>
      <w:pStyle w:val="1195"/>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2">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24">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25">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6">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8">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9">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0">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31">
    <w:multiLevelType w:val="hybridMultilevel"/>
    <w:lvl w:ilvl="0">
      <w:start w:val="1"/>
      <w:numFmt w:val="decimal"/>
      <w:pStyle w:val="1205"/>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07"/>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06"/>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08"/>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2">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33">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34">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35">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6">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38">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39">
    <w:multiLevelType w:val="hybridMultilevel"/>
    <w:lvl w:ilvl="0">
      <w:start w:val="1"/>
      <w:numFmt w:val="decimal"/>
      <w:pStyle w:val="1204"/>
      <w:isLgl w:val="false"/>
      <w:suff w:val="tab"/>
      <w:lvlText w:val="%1."/>
      <w:lvlJc w:val="left"/>
      <w:pPr>
        <w:ind w:left="420" w:hanging="420"/>
        <w:tabs>
          <w:tab w:val="num" w:pos="420" w:leader="none"/>
        </w:tabs>
      </w:pPr>
    </w:lvl>
    <w:lvl w:ilvl="1">
      <w:start w:val="1"/>
      <w:numFmt w:val="decimal"/>
      <w:pStyle w:val="1199"/>
      <w:isLgl w:val="false"/>
      <w:suff w:val="tab"/>
      <w:lvlText w:val="%1.%2."/>
      <w:lvlJc w:val="left"/>
      <w:pPr>
        <w:ind w:left="1271" w:hanging="420"/>
        <w:tabs>
          <w:tab w:val="num" w:pos="1271" w:leader="none"/>
        </w:tabs>
      </w:pPr>
    </w:lvl>
    <w:lvl w:ilvl="2">
      <w:start w:val="1"/>
      <w:numFmt w:val="decimal"/>
      <w:pStyle w:val="1200"/>
      <w:isLgl w:val="false"/>
      <w:suff w:val="tab"/>
      <w:lvlText w:val="%1.%2.%3."/>
      <w:lvlJc w:val="left"/>
      <w:pPr>
        <w:ind w:left="720" w:hanging="720"/>
        <w:tabs>
          <w:tab w:val="num" w:pos="720" w:leader="none"/>
        </w:tabs>
      </w:pPr>
    </w:lvl>
    <w:lvl w:ilvl="3">
      <w:start w:val="1"/>
      <w:numFmt w:val="decimal"/>
      <w:pStyle w:val="1201"/>
      <w:isLgl w:val="false"/>
      <w:suff w:val="tab"/>
      <w:lvlText w:val="%1.%2.%3.%4."/>
      <w:lvlJc w:val="left"/>
      <w:pPr>
        <w:ind w:left="720" w:hanging="720"/>
        <w:tabs>
          <w:tab w:val="num" w:pos="720" w:leader="none"/>
        </w:tabs>
      </w:pPr>
    </w:lvl>
    <w:lvl w:ilvl="4">
      <w:start w:val="1"/>
      <w:numFmt w:val="decimal"/>
      <w:pStyle w:val="1202"/>
      <w:isLgl w:val="false"/>
      <w:suff w:val="tab"/>
      <w:lvlText w:val="%1.%2.%3.%4.%5."/>
      <w:lvlJc w:val="left"/>
      <w:pPr>
        <w:ind w:left="1080" w:hanging="1080"/>
        <w:tabs>
          <w:tab w:val="num" w:pos="1080" w:leader="none"/>
        </w:tabs>
      </w:pPr>
    </w:lvl>
    <w:lvl w:ilvl="5">
      <w:start w:val="1"/>
      <w:numFmt w:val="decimal"/>
      <w:pStyle w:val="1203"/>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40">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41">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42">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num w:numId="1">
    <w:abstractNumId w:val="1"/>
  </w:num>
  <w:num w:numId="2">
    <w:abstractNumId w:val="24"/>
  </w:num>
  <w:num w:numId="3">
    <w:abstractNumId w:val="17"/>
  </w:num>
  <w:num w:numId="4">
    <w:abstractNumId w:val="16"/>
  </w:num>
  <w:num w:numId="5">
    <w:abstractNumId w:val="11"/>
  </w:num>
  <w:num w:numId="6">
    <w:abstractNumId w:val="22"/>
  </w:num>
  <w:num w:numId="7">
    <w:abstractNumId w:val="21"/>
  </w:num>
  <w:num w:numId="8">
    <w:abstractNumId w:val="19"/>
  </w:num>
  <w:num w:numId="9">
    <w:abstractNumId w:val="13"/>
  </w:num>
  <w:num w:numId="10">
    <w:abstractNumId w:val="20"/>
  </w:num>
  <w:num w:numId="11">
    <w:abstractNumId w:val="14"/>
  </w:num>
  <w:num w:numId="12">
    <w:abstractNumId w:val="8"/>
  </w:num>
  <w:num w:numId="13">
    <w:abstractNumId w:val="10"/>
  </w:num>
  <w:num w:numId="14">
    <w:abstractNumId w:val="0"/>
  </w:num>
  <w:num w:numId="15">
    <w:abstractNumId w:val="15"/>
  </w:num>
  <w:num w:numId="16">
    <w:abstractNumId w:val="25"/>
  </w:num>
  <w:num w:numId="17">
    <w:abstractNumId w:val="30"/>
  </w:num>
  <w:num w:numId="18">
    <w:abstractNumId w:val="34"/>
  </w:num>
  <w:num w:numId="19">
    <w:abstractNumId w:val="2"/>
  </w:num>
  <w:num w:numId="20">
    <w:abstractNumId w:val="12"/>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7"/>
  </w:num>
  <w:num w:numId="24">
    <w:abstractNumId w:val="31"/>
  </w:num>
  <w:num w:numId="25">
    <w:abstractNumId w:val="23"/>
  </w:num>
  <w:num w:numId="26">
    <w:abstractNumId w:val="32"/>
  </w:num>
  <w:num w:numId="27">
    <w:abstractNumId w:val="5"/>
  </w:num>
  <w:num w:numId="28">
    <w:abstractNumId w:val="7"/>
  </w:num>
  <w:num w:numId="29">
    <w:abstractNumId w:val="36"/>
  </w:num>
  <w:num w:numId="30">
    <w:abstractNumId w:val="3"/>
  </w:num>
  <w:num w:numId="31">
    <w:abstractNumId w:val="29"/>
  </w:num>
  <w:num w:numId="32">
    <w:abstractNumId w:val="27"/>
  </w:num>
  <w:num w:numId="33">
    <w:abstractNumId w:val="26"/>
  </w:num>
  <w:num w:numId="34">
    <w:abstractNumId w:val="6"/>
  </w:num>
  <w:num w:numId="35">
    <w:abstractNumId w:val="18"/>
  </w:num>
  <w:num w:numId="36">
    <w:abstractNumId w:val="42"/>
  </w:num>
  <w:num w:numId="37">
    <w:abstractNumId w:val="38"/>
  </w:num>
  <w:num w:numId="38">
    <w:abstractNumId w:val="41"/>
  </w:num>
  <w:num w:numId="39">
    <w:abstractNumId w:val="4"/>
  </w:num>
  <w:num w:numId="40">
    <w:abstractNumId w:val="35"/>
  </w:num>
  <w:num w:numId="41">
    <w:abstractNumId w:val="9"/>
  </w:num>
  <w:num w:numId="42">
    <w:abstractNumId w:val="4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60" w:default="1">
    <w:name w:val="Normal"/>
    <w:qFormat/>
    <w:rPr>
      <w:sz w:val="24"/>
      <w:szCs w:val="24"/>
      <w:lang w:eastAsia="ru-RU"/>
    </w:rPr>
  </w:style>
  <w:style w:type="paragraph" w:styleId="961">
    <w:name w:val="Heading 1"/>
    <w:basedOn w:val="960"/>
    <w:next w:val="960"/>
    <w:link w:val="1150"/>
    <w:qFormat/>
    <w:pPr>
      <w:keepNext/>
      <w:spacing w:before="240" w:after="60"/>
      <w:outlineLvl w:val="0"/>
    </w:pPr>
    <w:rPr>
      <w:rFonts w:ascii="Arial" w:hAnsi="Arial" w:cs="Arial"/>
      <w:b/>
      <w:bCs/>
      <w:sz w:val="32"/>
      <w:szCs w:val="32"/>
    </w:rPr>
  </w:style>
  <w:style w:type="paragraph" w:styleId="962">
    <w:name w:val="Heading 2"/>
    <w:basedOn w:val="960"/>
    <w:next w:val="960"/>
    <w:link w:val="1151"/>
    <w:qFormat/>
    <w:pPr>
      <w:keepNext/>
      <w:spacing w:before="240" w:after="60"/>
      <w:outlineLvl w:val="1"/>
    </w:pPr>
    <w:rPr>
      <w:rFonts w:ascii="Cambria" w:hAnsi="Cambria" w:cs="Cambria"/>
      <w:b/>
      <w:bCs/>
      <w:i/>
      <w:iCs/>
      <w:sz w:val="28"/>
      <w:szCs w:val="28"/>
    </w:rPr>
  </w:style>
  <w:style w:type="paragraph" w:styleId="963">
    <w:name w:val="Heading 3"/>
    <w:basedOn w:val="960"/>
    <w:next w:val="960"/>
    <w:link w:val="982"/>
    <w:uiPriority w:val="9"/>
    <w:unhideWhenUsed/>
    <w:qFormat/>
    <w:pPr>
      <w:keepLines/>
      <w:keepNext/>
      <w:spacing w:before="320" w:after="200"/>
      <w:outlineLvl w:val="2"/>
    </w:pPr>
    <w:rPr>
      <w:rFonts w:ascii="Arial" w:hAnsi="Arial" w:eastAsia="Arial" w:cs="Arial"/>
      <w:sz w:val="30"/>
      <w:szCs w:val="30"/>
    </w:rPr>
  </w:style>
  <w:style w:type="paragraph" w:styleId="964">
    <w:name w:val="Heading 4"/>
    <w:basedOn w:val="960"/>
    <w:next w:val="960"/>
    <w:link w:val="1154"/>
    <w:qFormat/>
    <w:pPr>
      <w:keepNext/>
      <w:spacing w:before="240" w:after="60"/>
      <w:widowControl w:val="off"/>
      <w:outlineLvl w:val="3"/>
    </w:pPr>
    <w:rPr>
      <w:rFonts w:ascii="Calibri" w:hAnsi="Calibri" w:cs="Calibri"/>
      <w:b/>
      <w:bCs/>
      <w:sz w:val="28"/>
      <w:szCs w:val="28"/>
    </w:rPr>
  </w:style>
  <w:style w:type="paragraph" w:styleId="965">
    <w:name w:val="Heading 5"/>
    <w:basedOn w:val="960"/>
    <w:next w:val="960"/>
    <w:link w:val="1155"/>
    <w:qFormat/>
    <w:pPr>
      <w:spacing w:before="240" w:after="60"/>
      <w:widowControl w:val="off"/>
      <w:outlineLvl w:val="4"/>
    </w:pPr>
    <w:rPr>
      <w:rFonts w:ascii="Calibri" w:hAnsi="Calibri" w:cs="Calibri"/>
      <w:b/>
      <w:bCs/>
      <w:i/>
      <w:iCs/>
      <w:sz w:val="26"/>
      <w:szCs w:val="26"/>
    </w:rPr>
  </w:style>
  <w:style w:type="paragraph" w:styleId="966">
    <w:name w:val="Heading 6"/>
    <w:basedOn w:val="960"/>
    <w:next w:val="960"/>
    <w:link w:val="1156"/>
    <w:qFormat/>
    <w:pPr>
      <w:ind w:left="1152" w:hanging="1152"/>
      <w:spacing w:before="240" w:after="60"/>
      <w:tabs>
        <w:tab w:val="num" w:pos="1152" w:leader="none"/>
      </w:tabs>
      <w:outlineLvl w:val="5"/>
    </w:pPr>
    <w:rPr>
      <w:b/>
      <w:bCs/>
      <w:sz w:val="22"/>
      <w:szCs w:val="22"/>
    </w:rPr>
  </w:style>
  <w:style w:type="paragraph" w:styleId="967">
    <w:name w:val="Heading 7"/>
    <w:basedOn w:val="960"/>
    <w:next w:val="960"/>
    <w:link w:val="1157"/>
    <w:qFormat/>
    <w:pPr>
      <w:ind w:left="1296" w:hanging="1296"/>
      <w:spacing w:before="240" w:after="60"/>
      <w:tabs>
        <w:tab w:val="num" w:pos="1296" w:leader="none"/>
      </w:tabs>
      <w:outlineLvl w:val="6"/>
    </w:pPr>
  </w:style>
  <w:style w:type="paragraph" w:styleId="968">
    <w:name w:val="Heading 8"/>
    <w:basedOn w:val="960"/>
    <w:next w:val="960"/>
    <w:link w:val="1158"/>
    <w:qFormat/>
    <w:pPr>
      <w:spacing w:before="240" w:after="60"/>
      <w:widowControl w:val="off"/>
      <w:outlineLvl w:val="7"/>
    </w:pPr>
    <w:rPr>
      <w:rFonts w:ascii="Calibri" w:hAnsi="Calibri" w:cs="Calibri"/>
      <w:i/>
      <w:iCs/>
    </w:rPr>
  </w:style>
  <w:style w:type="paragraph" w:styleId="969">
    <w:name w:val="Heading 9"/>
    <w:basedOn w:val="960"/>
    <w:next w:val="960"/>
    <w:link w:val="1159"/>
    <w:qFormat/>
    <w:pPr>
      <w:ind w:left="1584" w:hanging="1584"/>
      <w:spacing w:before="240" w:after="60"/>
      <w:tabs>
        <w:tab w:val="num" w:pos="1584" w:leader="none"/>
      </w:tabs>
      <w:outlineLvl w:val="8"/>
    </w:pPr>
    <w:rPr>
      <w:rFonts w:ascii="Arial" w:hAnsi="Arial" w:cs="Arial"/>
      <w:sz w:val="22"/>
      <w:szCs w:val="22"/>
    </w:rPr>
  </w:style>
  <w:style w:type="character" w:styleId="970" w:default="1">
    <w:name w:val="Default Paragraph Font"/>
    <w:uiPriority w:val="1"/>
    <w:semiHidden/>
    <w:unhideWhenUsed/>
  </w:style>
  <w:style w:type="table" w:styleId="971" w:default="1">
    <w:name w:val="Normal Table"/>
    <w:uiPriority w:val="99"/>
    <w:semiHidden/>
    <w:unhideWhenUsed/>
    <w:tblPr>
      <w:tblInd w:w="0" w:type="dxa"/>
      <w:tblCellMar>
        <w:left w:w="108" w:type="dxa"/>
        <w:top w:w="0" w:type="dxa"/>
        <w:right w:w="108" w:type="dxa"/>
        <w:bottom w:w="0" w:type="dxa"/>
      </w:tblCellMar>
    </w:tblPr>
  </w:style>
  <w:style w:type="numbering" w:styleId="972" w:default="1">
    <w:name w:val="No List"/>
    <w:uiPriority w:val="99"/>
    <w:semiHidden/>
    <w:unhideWhenUsed/>
  </w:style>
  <w:style w:type="character" w:styleId="973" w:customStyle="1">
    <w:name w:val="Heading 3 Char"/>
    <w:basedOn w:val="970"/>
    <w:uiPriority w:val="9"/>
    <w:rPr>
      <w:rFonts w:ascii="Arial" w:hAnsi="Arial" w:eastAsia="Arial" w:cs="Arial"/>
      <w:sz w:val="30"/>
      <w:szCs w:val="30"/>
    </w:rPr>
  </w:style>
  <w:style w:type="character" w:styleId="974" w:customStyle="1">
    <w:name w:val="Subtitle Char"/>
    <w:basedOn w:val="970"/>
    <w:uiPriority w:val="11"/>
    <w:rPr>
      <w:sz w:val="24"/>
      <w:szCs w:val="24"/>
    </w:rPr>
  </w:style>
  <w:style w:type="character" w:styleId="975" w:customStyle="1">
    <w:name w:val="Quote Char"/>
    <w:uiPriority w:val="29"/>
    <w:rPr>
      <w:i/>
    </w:rPr>
  </w:style>
  <w:style w:type="character" w:styleId="976" w:customStyle="1">
    <w:name w:val="Intense Quote Char"/>
    <w:uiPriority w:val="30"/>
    <w:rPr>
      <w:i/>
    </w:rPr>
  </w:style>
  <w:style w:type="character" w:styleId="977" w:customStyle="1">
    <w:name w:val="Header Char"/>
    <w:basedOn w:val="970"/>
    <w:uiPriority w:val="99"/>
  </w:style>
  <w:style w:type="character" w:styleId="978" w:customStyle="1">
    <w:name w:val="Caption Char"/>
    <w:basedOn w:val="970"/>
    <w:uiPriority w:val="35"/>
    <w:rPr>
      <w:b/>
      <w:bCs/>
      <w:color w:val="4f81bd" w:themeColor="accent1"/>
      <w:sz w:val="18"/>
      <w:szCs w:val="18"/>
    </w:rPr>
  </w:style>
  <w:style w:type="character" w:styleId="979" w:customStyle="1">
    <w:name w:val="Endnote Text Char"/>
    <w:uiPriority w:val="99"/>
    <w:rPr>
      <w:sz w:val="20"/>
    </w:rPr>
  </w:style>
  <w:style w:type="character" w:styleId="980" w:customStyle="1">
    <w:name w:val="Heading 1 Char"/>
    <w:uiPriority w:val="9"/>
    <w:rPr>
      <w:rFonts w:ascii="Arial" w:hAnsi="Arial" w:eastAsia="Arial" w:cs="Arial"/>
      <w:sz w:val="40"/>
      <w:szCs w:val="40"/>
    </w:rPr>
  </w:style>
  <w:style w:type="character" w:styleId="981" w:customStyle="1">
    <w:name w:val="Heading 2 Char"/>
    <w:uiPriority w:val="9"/>
    <w:rPr>
      <w:rFonts w:ascii="Arial" w:hAnsi="Arial" w:eastAsia="Arial" w:cs="Arial"/>
      <w:sz w:val="34"/>
    </w:rPr>
  </w:style>
  <w:style w:type="character" w:styleId="982" w:customStyle="1">
    <w:name w:val="Заголовок 3 Знак"/>
    <w:link w:val="963"/>
    <w:uiPriority w:val="9"/>
    <w:rPr>
      <w:rFonts w:ascii="Arial" w:hAnsi="Arial" w:eastAsia="Arial" w:cs="Arial"/>
      <w:sz w:val="30"/>
      <w:szCs w:val="30"/>
    </w:rPr>
  </w:style>
  <w:style w:type="character" w:styleId="983" w:customStyle="1">
    <w:name w:val="Heading 4 Char"/>
    <w:uiPriority w:val="9"/>
    <w:rPr>
      <w:rFonts w:ascii="Arial" w:hAnsi="Arial" w:eastAsia="Arial" w:cs="Arial"/>
      <w:b/>
      <w:bCs/>
      <w:sz w:val="26"/>
      <w:szCs w:val="26"/>
    </w:rPr>
  </w:style>
  <w:style w:type="character" w:styleId="984" w:customStyle="1">
    <w:name w:val="Heading 5 Char"/>
    <w:uiPriority w:val="9"/>
    <w:rPr>
      <w:rFonts w:ascii="Arial" w:hAnsi="Arial" w:eastAsia="Arial" w:cs="Arial"/>
      <w:b/>
      <w:bCs/>
      <w:sz w:val="24"/>
      <w:szCs w:val="24"/>
    </w:rPr>
  </w:style>
  <w:style w:type="character" w:styleId="985" w:customStyle="1">
    <w:name w:val="Heading 6 Char"/>
    <w:uiPriority w:val="9"/>
    <w:rPr>
      <w:rFonts w:ascii="Arial" w:hAnsi="Arial" w:eastAsia="Arial" w:cs="Arial"/>
      <w:b/>
      <w:bCs/>
      <w:sz w:val="22"/>
      <w:szCs w:val="22"/>
    </w:rPr>
  </w:style>
  <w:style w:type="character" w:styleId="986" w:customStyle="1">
    <w:name w:val="Heading 7 Char"/>
    <w:uiPriority w:val="9"/>
    <w:rPr>
      <w:rFonts w:ascii="Arial" w:hAnsi="Arial" w:eastAsia="Arial" w:cs="Arial"/>
      <w:b/>
      <w:bCs/>
      <w:i/>
      <w:iCs/>
      <w:sz w:val="22"/>
      <w:szCs w:val="22"/>
    </w:rPr>
  </w:style>
  <w:style w:type="character" w:styleId="987" w:customStyle="1">
    <w:name w:val="Heading 8 Char"/>
    <w:uiPriority w:val="9"/>
    <w:rPr>
      <w:rFonts w:ascii="Arial" w:hAnsi="Arial" w:eastAsia="Arial" w:cs="Arial"/>
      <w:i/>
      <w:iCs/>
      <w:sz w:val="22"/>
      <w:szCs w:val="22"/>
    </w:rPr>
  </w:style>
  <w:style w:type="character" w:styleId="988" w:customStyle="1">
    <w:name w:val="Heading 9 Char"/>
    <w:uiPriority w:val="9"/>
    <w:rPr>
      <w:rFonts w:ascii="Arial" w:hAnsi="Arial" w:eastAsia="Arial" w:cs="Arial"/>
      <w:i/>
      <w:iCs/>
      <w:sz w:val="21"/>
      <w:szCs w:val="21"/>
    </w:rPr>
  </w:style>
  <w:style w:type="paragraph" w:styleId="989">
    <w:name w:val="List Paragraph"/>
    <w:basedOn w:val="960"/>
    <w:uiPriority w:val="34"/>
    <w:qFormat/>
    <w:pPr>
      <w:contextualSpacing/>
      <w:ind w:left="720"/>
    </w:pPr>
  </w:style>
  <w:style w:type="paragraph" w:styleId="990">
    <w:name w:val="No Spacing"/>
    <w:uiPriority w:val="1"/>
    <w:qFormat/>
  </w:style>
  <w:style w:type="paragraph" w:styleId="991">
    <w:name w:val="Title"/>
    <w:basedOn w:val="960"/>
    <w:link w:val="1160"/>
    <w:qFormat/>
    <w:pPr>
      <w:jc w:val="center"/>
    </w:pPr>
    <w:rPr>
      <w:b/>
      <w:bCs/>
      <w:sz w:val="28"/>
      <w:szCs w:val="28"/>
      <w:lang w:val="en-US"/>
    </w:rPr>
  </w:style>
  <w:style w:type="character" w:styleId="992" w:customStyle="1">
    <w:name w:val="Title Char"/>
    <w:uiPriority w:val="10"/>
    <w:rPr>
      <w:sz w:val="48"/>
      <w:szCs w:val="48"/>
    </w:rPr>
  </w:style>
  <w:style w:type="paragraph" w:styleId="993">
    <w:name w:val="Subtitle"/>
    <w:basedOn w:val="960"/>
    <w:next w:val="960"/>
    <w:link w:val="994"/>
    <w:uiPriority w:val="11"/>
    <w:qFormat/>
    <w:pPr>
      <w:spacing w:before="200" w:after="200"/>
    </w:pPr>
  </w:style>
  <w:style w:type="character" w:styleId="994" w:customStyle="1">
    <w:name w:val="Подзаголовок Знак"/>
    <w:link w:val="993"/>
    <w:uiPriority w:val="11"/>
    <w:rPr>
      <w:sz w:val="24"/>
      <w:szCs w:val="24"/>
    </w:rPr>
  </w:style>
  <w:style w:type="paragraph" w:styleId="995">
    <w:name w:val="Quote"/>
    <w:basedOn w:val="960"/>
    <w:next w:val="960"/>
    <w:link w:val="996"/>
    <w:uiPriority w:val="29"/>
    <w:qFormat/>
    <w:pPr>
      <w:ind w:left="720" w:right="720"/>
    </w:pPr>
    <w:rPr>
      <w:i/>
    </w:rPr>
  </w:style>
  <w:style w:type="character" w:styleId="996" w:customStyle="1">
    <w:name w:val="Цитата 2 Знак"/>
    <w:link w:val="995"/>
    <w:uiPriority w:val="29"/>
    <w:rPr>
      <w:i/>
    </w:rPr>
  </w:style>
  <w:style w:type="paragraph" w:styleId="997">
    <w:name w:val="Intense Quote"/>
    <w:basedOn w:val="960"/>
    <w:next w:val="960"/>
    <w:link w:val="998"/>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98" w:customStyle="1">
    <w:name w:val="Выделенная цитата Знак"/>
    <w:link w:val="997"/>
    <w:uiPriority w:val="30"/>
    <w:rPr>
      <w:i/>
    </w:rPr>
  </w:style>
  <w:style w:type="paragraph" w:styleId="999">
    <w:name w:val="Header"/>
    <w:basedOn w:val="960"/>
    <w:link w:val="1000"/>
    <w:uiPriority w:val="99"/>
    <w:unhideWhenUsed/>
    <w:pPr>
      <w:tabs>
        <w:tab w:val="center" w:pos="7143" w:leader="none"/>
        <w:tab w:val="right" w:pos="14287" w:leader="none"/>
      </w:tabs>
    </w:pPr>
  </w:style>
  <w:style w:type="character" w:styleId="1000" w:customStyle="1">
    <w:name w:val="Верхний колонтитул Знак"/>
    <w:link w:val="999"/>
    <w:uiPriority w:val="99"/>
  </w:style>
  <w:style w:type="paragraph" w:styleId="1001">
    <w:name w:val="Footer"/>
    <w:basedOn w:val="960"/>
    <w:link w:val="1166"/>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02" w:customStyle="1">
    <w:name w:val="Footer Char"/>
    <w:uiPriority w:val="99"/>
  </w:style>
  <w:style w:type="paragraph" w:styleId="1003">
    <w:name w:val="Caption"/>
    <w:basedOn w:val="960"/>
    <w:next w:val="960"/>
    <w:link w:val="1004"/>
    <w:uiPriority w:val="35"/>
    <w:semiHidden/>
    <w:unhideWhenUsed/>
    <w:qFormat/>
    <w:pPr>
      <w:spacing w:line="276" w:lineRule="auto"/>
    </w:pPr>
    <w:rPr>
      <w:b/>
      <w:bCs/>
      <w:color w:val="4f81bd" w:themeColor="accent1"/>
      <w:sz w:val="18"/>
      <w:szCs w:val="18"/>
    </w:rPr>
  </w:style>
  <w:style w:type="character" w:styleId="1004" w:customStyle="1">
    <w:name w:val="Название объекта Знак"/>
    <w:link w:val="1003"/>
    <w:uiPriority w:val="99"/>
  </w:style>
  <w:style w:type="table" w:styleId="1005">
    <w:name w:val="Table Grid"/>
    <w:basedOn w:val="971"/>
    <w:uiPriority w:val="59"/>
    <w:tblPr>
      <w:tblInd w:w="0" w:type="dxa"/>
      <w:tblCellMar>
        <w:left w:w="108" w:type="dxa"/>
        <w:top w:w="0" w:type="dxa"/>
        <w:right w:w="108" w:type="dxa"/>
        <w:bottom w:w="0" w:type="dxa"/>
      </w:tblCellMar>
    </w:tblPr>
  </w:style>
  <w:style w:type="table" w:styleId="1006"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07">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08">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09">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10">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1">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12">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13"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14"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15"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16"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17"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18"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19">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20"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1"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22"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23"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24"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25"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26">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7"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8"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9"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0"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1"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2"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3">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34"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35"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36"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37"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38"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39"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40">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1"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42"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43"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44"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45"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46"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47">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48"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49"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50"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1"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52"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3"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4">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55"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56"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57"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58"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59"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60"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1">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2"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63"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64"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65"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66"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67"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68">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69"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70"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1"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72"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73"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74"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75">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76"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77"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78"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79"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80"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1"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82">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3"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4"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85"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86"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87"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88"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89">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90"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1"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92"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93"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94"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095"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096">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097"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098"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099"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00"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1"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02"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03">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04"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05"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06"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07"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08"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09"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10"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1"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2"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3"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14"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15"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16"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17"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8"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9"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20"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1"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2"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3"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4"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25"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26"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27"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28"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29"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30"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1">
    <w:name w:val="Hyperlink"/>
    <w:uiPriority w:val="99"/>
    <w:unhideWhenUsed/>
    <w:rPr>
      <w:color w:val="0000ff"/>
      <w:u w:val="single"/>
    </w:rPr>
  </w:style>
  <w:style w:type="paragraph" w:styleId="1132">
    <w:name w:val="footnote text"/>
    <w:basedOn w:val="960"/>
    <w:link w:val="1168"/>
    <w:unhideWhenUsed/>
    <w:rPr>
      <w:sz w:val="20"/>
      <w:szCs w:val="20"/>
    </w:rPr>
  </w:style>
  <w:style w:type="character" w:styleId="1133" w:customStyle="1">
    <w:name w:val="Footnote Text Char"/>
    <w:uiPriority w:val="99"/>
    <w:rPr>
      <w:sz w:val="18"/>
    </w:rPr>
  </w:style>
  <w:style w:type="character" w:styleId="1134">
    <w:name w:val="footnote reference"/>
    <w:unhideWhenUsed/>
    <w:rPr>
      <w:vertAlign w:val="superscript"/>
    </w:rPr>
  </w:style>
  <w:style w:type="paragraph" w:styleId="1135">
    <w:name w:val="endnote text"/>
    <w:basedOn w:val="960"/>
    <w:link w:val="1136"/>
    <w:uiPriority w:val="99"/>
    <w:semiHidden/>
    <w:unhideWhenUsed/>
    <w:rPr>
      <w:sz w:val="20"/>
    </w:rPr>
  </w:style>
  <w:style w:type="character" w:styleId="1136" w:customStyle="1">
    <w:name w:val="Текст концевой сноски Знак"/>
    <w:link w:val="1135"/>
    <w:uiPriority w:val="99"/>
    <w:rPr>
      <w:sz w:val="20"/>
    </w:rPr>
  </w:style>
  <w:style w:type="character" w:styleId="1137">
    <w:name w:val="endnote reference"/>
    <w:uiPriority w:val="99"/>
    <w:semiHidden/>
    <w:unhideWhenUsed/>
    <w:rPr>
      <w:vertAlign w:val="superscript"/>
    </w:rPr>
  </w:style>
  <w:style w:type="paragraph" w:styleId="1138">
    <w:name w:val="toc 1"/>
    <w:basedOn w:val="960"/>
    <w:next w:val="960"/>
    <w:uiPriority w:val="39"/>
    <w:qFormat/>
    <w:pPr>
      <w:ind w:left="180"/>
      <w:widowControl w:val="off"/>
      <w:tabs>
        <w:tab w:val="right" w:pos="9818" w:leader="dot"/>
      </w:tabs>
    </w:pPr>
  </w:style>
  <w:style w:type="paragraph" w:styleId="1139">
    <w:name w:val="toc 2"/>
    <w:basedOn w:val="960"/>
    <w:next w:val="960"/>
    <w:uiPriority w:val="39"/>
    <w:unhideWhenUsed/>
    <w:pPr>
      <w:ind w:left="240"/>
      <w:spacing w:after="100"/>
    </w:pPr>
  </w:style>
  <w:style w:type="paragraph" w:styleId="1140">
    <w:name w:val="toc 3"/>
    <w:basedOn w:val="960"/>
    <w:next w:val="960"/>
    <w:uiPriority w:val="39"/>
    <w:unhideWhenUsed/>
    <w:pPr>
      <w:ind w:left="480"/>
      <w:spacing w:after="100"/>
    </w:pPr>
  </w:style>
  <w:style w:type="paragraph" w:styleId="1141">
    <w:name w:val="toc 4"/>
    <w:basedOn w:val="960"/>
    <w:next w:val="960"/>
    <w:uiPriority w:val="39"/>
    <w:unhideWhenUsed/>
    <w:pPr>
      <w:ind w:left="850"/>
      <w:spacing w:after="57"/>
    </w:pPr>
  </w:style>
  <w:style w:type="paragraph" w:styleId="1142">
    <w:name w:val="toc 5"/>
    <w:basedOn w:val="960"/>
    <w:next w:val="960"/>
    <w:uiPriority w:val="39"/>
    <w:unhideWhenUsed/>
    <w:pPr>
      <w:ind w:left="1134"/>
      <w:spacing w:after="57"/>
    </w:pPr>
  </w:style>
  <w:style w:type="paragraph" w:styleId="1143">
    <w:name w:val="toc 6"/>
    <w:basedOn w:val="960"/>
    <w:next w:val="960"/>
    <w:uiPriority w:val="39"/>
    <w:unhideWhenUsed/>
    <w:pPr>
      <w:ind w:left="1417"/>
      <w:spacing w:after="57"/>
    </w:pPr>
  </w:style>
  <w:style w:type="paragraph" w:styleId="1144">
    <w:name w:val="toc 7"/>
    <w:basedOn w:val="960"/>
    <w:next w:val="960"/>
    <w:uiPriority w:val="39"/>
    <w:unhideWhenUsed/>
    <w:pPr>
      <w:ind w:left="1701"/>
      <w:spacing w:after="57"/>
    </w:pPr>
  </w:style>
  <w:style w:type="paragraph" w:styleId="1145">
    <w:name w:val="toc 8"/>
    <w:basedOn w:val="960"/>
    <w:next w:val="960"/>
    <w:uiPriority w:val="39"/>
    <w:unhideWhenUsed/>
    <w:pPr>
      <w:ind w:left="1984"/>
      <w:spacing w:after="57"/>
    </w:pPr>
  </w:style>
  <w:style w:type="paragraph" w:styleId="1146">
    <w:name w:val="toc 9"/>
    <w:basedOn w:val="960"/>
    <w:next w:val="960"/>
    <w:uiPriority w:val="39"/>
    <w:unhideWhenUsed/>
    <w:pPr>
      <w:ind w:left="2268"/>
      <w:spacing w:after="57"/>
    </w:pPr>
  </w:style>
  <w:style w:type="paragraph" w:styleId="1147">
    <w:name w:val="TOC Heading"/>
    <w:basedOn w:val="961"/>
    <w:next w:val="960"/>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48">
    <w:name w:val="table of figures"/>
    <w:basedOn w:val="960"/>
    <w:next w:val="960"/>
    <w:uiPriority w:val="99"/>
    <w:unhideWhenUsed/>
  </w:style>
  <w:style w:type="paragraph" w:styleId="1149" w:customStyle="1">
    <w:name w:val="Заголовок 3;H3;Подраздел;Б3;RTC 3;iz3;римская нумерация"/>
    <w:basedOn w:val="960"/>
    <w:next w:val="960"/>
    <w:link w:val="1153"/>
    <w:qFormat/>
    <w:pPr>
      <w:keepNext/>
      <w:spacing w:before="240" w:after="60"/>
      <w:outlineLvl w:val="2"/>
    </w:pPr>
    <w:rPr>
      <w:rFonts w:ascii="Arial" w:hAnsi="Arial" w:cs="Arial"/>
      <w:b/>
      <w:bCs/>
      <w:sz w:val="26"/>
      <w:szCs w:val="26"/>
    </w:rPr>
  </w:style>
  <w:style w:type="character" w:styleId="1150" w:customStyle="1">
    <w:name w:val="Заголовок 1 Знак"/>
    <w:link w:val="961"/>
    <w:rPr>
      <w:rFonts w:ascii="Arial" w:hAnsi="Arial" w:cs="Arial"/>
      <w:b/>
      <w:bCs/>
      <w:sz w:val="32"/>
      <w:szCs w:val="32"/>
      <w:lang w:val="ru-RU" w:eastAsia="ru-RU" w:bidi="ar-SA"/>
    </w:rPr>
  </w:style>
  <w:style w:type="character" w:styleId="1151" w:customStyle="1">
    <w:name w:val="Заголовок 2 Знак"/>
    <w:link w:val="962"/>
    <w:rPr>
      <w:rFonts w:ascii="Cambria" w:hAnsi="Cambria" w:cs="Cambria"/>
      <w:b/>
      <w:bCs/>
      <w:i/>
      <w:iCs/>
      <w:sz w:val="28"/>
      <w:szCs w:val="28"/>
    </w:rPr>
  </w:style>
  <w:style w:type="character" w:styleId="1152" w:customStyle="1">
    <w:name w:val="Заголовок 2 Знак1;Заголовок 2 Знак Знак"/>
    <w:rPr>
      <w:rFonts w:ascii="Cambria" w:hAnsi="Cambria" w:cs="Cambria"/>
      <w:b/>
      <w:bCs/>
      <w:i/>
      <w:iCs/>
      <w:sz w:val="28"/>
      <w:szCs w:val="28"/>
      <w:lang w:val="ru-RU" w:eastAsia="ru-RU" w:bidi="ar-SA"/>
    </w:rPr>
  </w:style>
  <w:style w:type="character" w:styleId="1153" w:customStyle="1">
    <w:name w:val="Заголовок 3 Знак;H3 Знак;Подраздел Знак;Б3 Знак;RTC 3 Знак;iz3 Знак;римская нумерация Знак"/>
    <w:link w:val="1149"/>
    <w:rPr>
      <w:rFonts w:ascii="Arial" w:hAnsi="Arial" w:cs="Arial"/>
      <w:b/>
      <w:bCs/>
      <w:sz w:val="26"/>
      <w:szCs w:val="26"/>
      <w:lang w:val="ru-RU" w:eastAsia="ru-RU" w:bidi="ar-SA"/>
    </w:rPr>
  </w:style>
  <w:style w:type="character" w:styleId="1154" w:customStyle="1">
    <w:name w:val="Заголовок 4 Знак"/>
    <w:link w:val="964"/>
    <w:rPr>
      <w:rFonts w:ascii="Calibri" w:hAnsi="Calibri" w:cs="Calibri"/>
      <w:b/>
      <w:bCs/>
      <w:sz w:val="28"/>
      <w:szCs w:val="28"/>
      <w:lang w:val="ru-RU" w:eastAsia="ru-RU" w:bidi="ar-SA"/>
    </w:rPr>
  </w:style>
  <w:style w:type="character" w:styleId="1155" w:customStyle="1">
    <w:name w:val="Заголовок 5 Знак"/>
    <w:link w:val="965"/>
    <w:rPr>
      <w:rFonts w:ascii="Calibri" w:hAnsi="Calibri" w:cs="Calibri"/>
      <w:b/>
      <w:bCs/>
      <w:i/>
      <w:iCs/>
      <w:sz w:val="26"/>
      <w:szCs w:val="26"/>
      <w:lang w:val="ru-RU" w:eastAsia="ru-RU" w:bidi="ar-SA"/>
    </w:rPr>
  </w:style>
  <w:style w:type="character" w:styleId="1156" w:customStyle="1">
    <w:name w:val="Заголовок 6 Знак"/>
    <w:link w:val="966"/>
    <w:rPr>
      <w:b/>
      <w:bCs/>
      <w:sz w:val="22"/>
      <w:szCs w:val="22"/>
      <w:lang w:val="ru-RU" w:eastAsia="ru-RU" w:bidi="ar-SA"/>
    </w:rPr>
  </w:style>
  <w:style w:type="character" w:styleId="1157" w:customStyle="1">
    <w:name w:val="Заголовок 7 Знак"/>
    <w:link w:val="967"/>
    <w:rPr>
      <w:sz w:val="24"/>
      <w:szCs w:val="24"/>
      <w:lang w:val="ru-RU" w:eastAsia="ru-RU" w:bidi="ar-SA"/>
    </w:rPr>
  </w:style>
  <w:style w:type="character" w:styleId="1158" w:customStyle="1">
    <w:name w:val="Заголовок 8 Знак"/>
    <w:link w:val="968"/>
    <w:rPr>
      <w:rFonts w:ascii="Calibri" w:hAnsi="Calibri" w:cs="Calibri"/>
      <w:i/>
      <w:iCs/>
      <w:sz w:val="24"/>
      <w:szCs w:val="24"/>
      <w:lang w:val="ru-RU" w:eastAsia="ru-RU" w:bidi="ar-SA"/>
    </w:rPr>
  </w:style>
  <w:style w:type="character" w:styleId="1159" w:customStyle="1">
    <w:name w:val="Заголовок 9 Знак"/>
    <w:link w:val="969"/>
    <w:rPr>
      <w:rFonts w:ascii="Arial" w:hAnsi="Arial" w:cs="Arial"/>
      <w:sz w:val="22"/>
      <w:szCs w:val="22"/>
      <w:lang w:val="ru-RU" w:eastAsia="ru-RU" w:bidi="ar-SA"/>
    </w:rPr>
  </w:style>
  <w:style w:type="character" w:styleId="1160" w:customStyle="1">
    <w:name w:val="Название Знак"/>
    <w:link w:val="991"/>
    <w:rPr>
      <w:b/>
      <w:bCs/>
      <w:sz w:val="28"/>
      <w:szCs w:val="28"/>
      <w:lang w:val="en-US" w:eastAsia="ru-RU" w:bidi="ar-SA"/>
    </w:rPr>
  </w:style>
  <w:style w:type="character" w:styleId="1161">
    <w:name w:val="Strong"/>
    <w:qFormat/>
    <w:rPr>
      <w:b/>
      <w:bCs/>
    </w:rPr>
  </w:style>
  <w:style w:type="paragraph" w:styleId="1162"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60"/>
    <w:link w:val="1178"/>
    <w:uiPriority w:val="34"/>
    <w:qFormat/>
    <w:pPr>
      <w:ind w:left="708"/>
    </w:pPr>
  </w:style>
  <w:style w:type="paragraph" w:styleId="1163" w:customStyle="1">
    <w:name w:val="Верхний колонтитул;Heder;Titul"/>
    <w:basedOn w:val="960"/>
    <w:link w:val="1164"/>
    <w:uiPriority w:val="99"/>
    <w:pPr>
      <w:tabs>
        <w:tab w:val="center" w:pos="4677" w:leader="none"/>
        <w:tab w:val="right" w:pos="9355" w:leader="none"/>
      </w:tabs>
    </w:pPr>
  </w:style>
  <w:style w:type="character" w:styleId="1164" w:customStyle="1">
    <w:name w:val="Верхний колонтитул Знак;Heder Знак1;Titul Знак1"/>
    <w:link w:val="1163"/>
    <w:uiPriority w:val="99"/>
    <w:rPr>
      <w:sz w:val="24"/>
      <w:szCs w:val="24"/>
    </w:rPr>
  </w:style>
  <w:style w:type="character" w:styleId="1165">
    <w:name w:val="page number"/>
    <w:basedOn w:val="970"/>
  </w:style>
  <w:style w:type="character" w:styleId="1166" w:customStyle="1">
    <w:name w:val="Нижний колонтитул Знак"/>
    <w:link w:val="1001"/>
    <w:rPr>
      <w:rFonts w:eastAsia="MS Mincho"/>
      <w:spacing w:val="-2"/>
      <w:sz w:val="24"/>
      <w:szCs w:val="24"/>
    </w:rPr>
  </w:style>
  <w:style w:type="paragraph" w:styleId="1167" w:customStyle="1">
    <w:name w:val="Обычный1"/>
    <w:pPr>
      <w:ind w:firstLine="720"/>
      <w:jc w:val="both"/>
    </w:pPr>
    <w:rPr>
      <w:sz w:val="28"/>
      <w:lang w:eastAsia="ru-RU"/>
    </w:rPr>
  </w:style>
  <w:style w:type="character" w:styleId="1168" w:customStyle="1">
    <w:name w:val="Текст сноски Знак"/>
    <w:basedOn w:val="970"/>
    <w:link w:val="1132"/>
  </w:style>
  <w:style w:type="paragraph" w:styleId="1169">
    <w:name w:val="Balloon Text"/>
    <w:basedOn w:val="960"/>
    <w:link w:val="1170"/>
    <w:uiPriority w:val="99"/>
    <w:semiHidden/>
    <w:unhideWhenUsed/>
    <w:rPr>
      <w:rFonts w:ascii="Tahoma" w:hAnsi="Tahoma" w:cs="Tahoma"/>
      <w:sz w:val="16"/>
      <w:szCs w:val="16"/>
    </w:rPr>
  </w:style>
  <w:style w:type="character" w:styleId="1170" w:customStyle="1">
    <w:name w:val="Текст выноски Знак"/>
    <w:link w:val="1169"/>
    <w:uiPriority w:val="99"/>
    <w:semiHidden/>
    <w:rPr>
      <w:rFonts w:ascii="Tahoma" w:hAnsi="Tahoma" w:cs="Tahoma"/>
      <w:sz w:val="16"/>
      <w:szCs w:val="16"/>
    </w:rPr>
  </w:style>
  <w:style w:type="paragraph" w:styleId="1171">
    <w:name w:val="Plain Text"/>
    <w:basedOn w:val="960"/>
    <w:link w:val="1172"/>
    <w:uiPriority w:val="99"/>
    <w:pPr>
      <w:ind w:firstLine="900"/>
      <w:jc w:val="both"/>
      <w:tabs>
        <w:tab w:val="left" w:pos="360" w:leader="none"/>
      </w:tabs>
    </w:pPr>
    <w:rPr>
      <w:rFonts w:eastAsia="MS Mincho"/>
      <w:spacing w:val="-2"/>
      <w:sz w:val="26"/>
      <w:szCs w:val="20"/>
    </w:rPr>
  </w:style>
  <w:style w:type="character" w:styleId="1172" w:customStyle="1">
    <w:name w:val="Текст Знак"/>
    <w:link w:val="1171"/>
    <w:uiPriority w:val="99"/>
    <w:rPr>
      <w:rFonts w:eastAsia="MS Mincho"/>
      <w:spacing w:val="-2"/>
      <w:sz w:val="26"/>
    </w:rPr>
  </w:style>
  <w:style w:type="paragraph" w:styleId="1173">
    <w:name w:val="Body Text"/>
    <w:basedOn w:val="960"/>
    <w:link w:val="1174"/>
    <w:pPr>
      <w:spacing w:after="120"/>
    </w:pPr>
  </w:style>
  <w:style w:type="character" w:styleId="1174" w:customStyle="1">
    <w:name w:val="Основной текст Знак"/>
    <w:link w:val="1173"/>
    <w:rPr>
      <w:sz w:val="24"/>
      <w:szCs w:val="24"/>
    </w:rPr>
  </w:style>
  <w:style w:type="character" w:styleId="1175" w:customStyle="1">
    <w:name w:val="value"/>
    <w:basedOn w:val="970"/>
  </w:style>
  <w:style w:type="character" w:styleId="1176" w:customStyle="1">
    <w:name w:val="комментарий"/>
    <w:rPr>
      <w:b/>
      <w:i/>
      <w:shd w:val="clear" w:color="auto" w:fill="ffff99"/>
    </w:rPr>
  </w:style>
  <w:style w:type="character" w:styleId="1177" w:customStyle="1">
    <w:name w:val="Font Style128"/>
    <w:rPr>
      <w:rFonts w:ascii="Times New Roman" w:hAnsi="Times New Roman" w:cs="Times New Roman"/>
      <w:color w:val="000000"/>
      <w:sz w:val="26"/>
      <w:szCs w:val="26"/>
    </w:rPr>
  </w:style>
  <w:style w:type="character" w:styleId="1178"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62"/>
    <w:uiPriority w:val="34"/>
    <w:qFormat/>
    <w:rPr>
      <w:sz w:val="24"/>
      <w:szCs w:val="24"/>
    </w:rPr>
  </w:style>
  <w:style w:type="paragraph" w:styleId="1179" w:customStyle="1">
    <w:name w:val="Style1"/>
    <w:basedOn w:val="960"/>
    <w:pPr>
      <w:jc w:val="both"/>
      <w:spacing w:line="324" w:lineRule="exact"/>
      <w:widowControl w:val="off"/>
    </w:pPr>
  </w:style>
  <w:style w:type="character" w:styleId="1180"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1"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82" w:customStyle="1">
    <w:name w:val="Нижний колонтитул Знак1"/>
    <w:rPr>
      <w:rFonts w:ascii="Times New Roman" w:hAnsi="Times New Roman" w:eastAsia="Times New Roman" w:cs="Times New Roman"/>
      <w:sz w:val="24"/>
      <w:szCs w:val="24"/>
      <w:lang w:eastAsia="ru-RU"/>
    </w:rPr>
  </w:style>
  <w:style w:type="character" w:styleId="1183">
    <w:name w:val="annotation reference"/>
    <w:unhideWhenUsed/>
    <w:rPr>
      <w:sz w:val="16"/>
      <w:szCs w:val="16"/>
    </w:rPr>
  </w:style>
  <w:style w:type="paragraph" w:styleId="1184">
    <w:name w:val="annotation text"/>
    <w:basedOn w:val="960"/>
    <w:link w:val="1185"/>
    <w:uiPriority w:val="99"/>
    <w:unhideWhenUsed/>
    <w:rPr>
      <w:sz w:val="20"/>
      <w:szCs w:val="20"/>
    </w:rPr>
  </w:style>
  <w:style w:type="character" w:styleId="1185" w:customStyle="1">
    <w:name w:val="Текст примечания Знак"/>
    <w:basedOn w:val="970"/>
    <w:link w:val="1184"/>
    <w:uiPriority w:val="99"/>
  </w:style>
  <w:style w:type="paragraph" w:styleId="1186">
    <w:name w:val="annotation subject"/>
    <w:basedOn w:val="1184"/>
    <w:next w:val="1184"/>
    <w:link w:val="1187"/>
    <w:uiPriority w:val="99"/>
    <w:semiHidden/>
    <w:unhideWhenUsed/>
    <w:rPr>
      <w:b/>
      <w:bCs/>
    </w:rPr>
  </w:style>
  <w:style w:type="character" w:styleId="1187" w:customStyle="1">
    <w:name w:val="Тема примечания Знак"/>
    <w:link w:val="1186"/>
    <w:uiPriority w:val="99"/>
    <w:semiHidden/>
    <w:rPr>
      <w:b/>
      <w:bCs/>
    </w:rPr>
  </w:style>
  <w:style w:type="paragraph" w:styleId="1188" w:customStyle="1">
    <w:name w:val="Пункт2 Знак"/>
    <w:basedOn w:val="960"/>
    <w:link w:val="1189"/>
    <w:pPr>
      <w:numPr>
        <w:ilvl w:val="2"/>
        <w:numId w:val="3"/>
      </w:numPr>
      <w:keepNext/>
      <w:spacing w:before="240" w:after="120"/>
      <w:outlineLvl w:val="2"/>
    </w:pPr>
    <w:rPr>
      <w:b/>
      <w:sz w:val="28"/>
      <w:szCs w:val="20"/>
    </w:rPr>
  </w:style>
  <w:style w:type="character" w:styleId="1189" w:customStyle="1">
    <w:name w:val="Пункт2 Знак Знак"/>
    <w:link w:val="1188"/>
    <w:rPr>
      <w:b/>
      <w:sz w:val="28"/>
    </w:rPr>
  </w:style>
  <w:style w:type="paragraph" w:styleId="1190">
    <w:name w:val="Body Text Indent"/>
    <w:basedOn w:val="960"/>
    <w:link w:val="1191"/>
    <w:uiPriority w:val="99"/>
    <w:semiHidden/>
    <w:unhideWhenUsed/>
    <w:pPr>
      <w:ind w:left="283"/>
      <w:spacing w:after="120"/>
    </w:pPr>
  </w:style>
  <w:style w:type="character" w:styleId="1191" w:customStyle="1">
    <w:name w:val="Основной текст с отступом Знак"/>
    <w:link w:val="1190"/>
    <w:uiPriority w:val="99"/>
    <w:semiHidden/>
    <w:rPr>
      <w:sz w:val="24"/>
      <w:szCs w:val="24"/>
    </w:rPr>
  </w:style>
  <w:style w:type="paragraph" w:styleId="1192" w:customStyle="1">
    <w:name w:val="Times 12"/>
    <w:basedOn w:val="960"/>
    <w:pPr>
      <w:ind w:firstLine="567"/>
      <w:jc w:val="both"/>
    </w:pPr>
    <w:rPr>
      <w:bCs/>
      <w:szCs w:val="22"/>
    </w:rPr>
  </w:style>
  <w:style w:type="paragraph" w:styleId="1193" w:customStyle="1">
    <w:name w:val="Подпункт"/>
    <w:basedOn w:val="960"/>
    <w:link w:val="1194"/>
    <w:pPr>
      <w:ind w:left="1701" w:hanging="1134"/>
      <w:jc w:val="both"/>
      <w:spacing w:line="360" w:lineRule="auto"/>
      <w:tabs>
        <w:tab w:val="num" w:pos="1701" w:leader="none"/>
      </w:tabs>
    </w:pPr>
    <w:rPr>
      <w:sz w:val="22"/>
      <w:szCs w:val="20"/>
    </w:rPr>
  </w:style>
  <w:style w:type="character" w:styleId="1194" w:customStyle="1">
    <w:name w:val="Подпункт Знак1"/>
    <w:link w:val="1193"/>
    <w:rPr>
      <w:sz w:val="22"/>
    </w:rPr>
  </w:style>
  <w:style w:type="paragraph" w:styleId="1195" w:customStyle="1">
    <w:name w:val="Подподпункт"/>
    <w:basedOn w:val="1193"/>
    <w:link w:val="1214"/>
    <w:pPr>
      <w:numPr>
        <w:ilvl w:val="0"/>
        <w:numId w:val="7"/>
      </w:numPr>
    </w:pPr>
  </w:style>
  <w:style w:type="paragraph" w:styleId="1196" w:customStyle="1">
    <w:name w:val="АриалСписок"/>
    <w:basedOn w:val="960"/>
    <w:uiPriority w:val="99"/>
    <w:pPr>
      <w:numPr>
        <w:ilvl w:val="0"/>
        <w:numId w:val="1"/>
      </w:numPr>
      <w:ind w:left="1571"/>
      <w:jc w:val="both"/>
      <w:tabs>
        <w:tab w:val="num" w:pos="1571" w:leader="none"/>
      </w:tabs>
    </w:pPr>
    <w:rPr>
      <w:rFonts w:ascii="Arial" w:hAnsi="Arial" w:cs="Arial"/>
    </w:rPr>
  </w:style>
  <w:style w:type="numbering" w:styleId="1197" w:customStyle="1">
    <w:name w:val="Стиль511"/>
    <w:uiPriority w:val="99"/>
  </w:style>
  <w:style w:type="character" w:styleId="1198" w:customStyle="1">
    <w:name w:val="П.1 Char"/>
    <w:link w:val="1199"/>
    <w:rPr>
      <w:sz w:val="24"/>
      <w:szCs w:val="24"/>
    </w:rPr>
  </w:style>
  <w:style w:type="paragraph" w:styleId="1199" w:customStyle="1">
    <w:name w:val="П.1"/>
    <w:basedOn w:val="960"/>
    <w:link w:val="1198"/>
    <w:qFormat/>
    <w:pPr>
      <w:numPr>
        <w:ilvl w:val="1"/>
        <w:numId w:val="21"/>
      </w:numPr>
      <w:jc w:val="both"/>
    </w:pPr>
  </w:style>
  <w:style w:type="paragraph" w:styleId="1200" w:customStyle="1">
    <w:name w:val="П.1.1"/>
    <w:basedOn w:val="960"/>
    <w:qFormat/>
    <w:pPr>
      <w:numPr>
        <w:ilvl w:val="2"/>
        <w:numId w:val="21"/>
      </w:numPr>
      <w:jc w:val="both"/>
    </w:pPr>
    <w:rPr>
      <w:rFonts w:ascii="Calibri" w:hAnsi="Calibri" w:eastAsia="Calibri"/>
    </w:rPr>
  </w:style>
  <w:style w:type="paragraph" w:styleId="1201" w:customStyle="1">
    <w:name w:val="П.1.1.1"/>
    <w:basedOn w:val="960"/>
    <w:qFormat/>
    <w:pPr>
      <w:numPr>
        <w:ilvl w:val="3"/>
        <w:numId w:val="21"/>
      </w:numPr>
      <w:ind w:left="0" w:firstLine="567"/>
      <w:jc w:val="both"/>
    </w:pPr>
    <w:rPr>
      <w:rFonts w:ascii="Calibri" w:hAnsi="Calibri" w:eastAsia="Calibri"/>
    </w:rPr>
  </w:style>
  <w:style w:type="paragraph" w:styleId="1202" w:customStyle="1">
    <w:name w:val="П.1.1.1.1"/>
    <w:basedOn w:val="960"/>
    <w:qFormat/>
    <w:pPr>
      <w:numPr>
        <w:ilvl w:val="4"/>
        <w:numId w:val="21"/>
      </w:numPr>
      <w:ind w:left="0" w:firstLine="567"/>
      <w:jc w:val="both"/>
    </w:pPr>
    <w:rPr>
      <w:rFonts w:ascii="Calibri" w:hAnsi="Calibri" w:eastAsia="Calibri"/>
    </w:rPr>
  </w:style>
  <w:style w:type="paragraph" w:styleId="1203" w:customStyle="1">
    <w:name w:val="П.1.1.1.1.1"/>
    <w:basedOn w:val="960"/>
    <w:qFormat/>
    <w:pPr>
      <w:numPr>
        <w:ilvl w:val="5"/>
        <w:numId w:val="21"/>
      </w:numPr>
      <w:ind w:left="0" w:firstLine="567"/>
      <w:jc w:val="both"/>
    </w:pPr>
    <w:rPr>
      <w:rFonts w:ascii="Calibri" w:hAnsi="Calibri" w:eastAsia="Calibri"/>
    </w:rPr>
  </w:style>
  <w:style w:type="paragraph" w:styleId="1204" w:customStyle="1">
    <w:name w:val="П.глава"/>
    <w:basedOn w:val="960"/>
    <w:qFormat/>
    <w:pPr>
      <w:numPr>
        <w:ilvl w:val="0"/>
        <w:numId w:val="21"/>
      </w:numPr>
      <w:ind w:right="-6"/>
      <w:jc w:val="center"/>
      <w:spacing w:before="240" w:after="240"/>
    </w:pPr>
    <w:rPr>
      <w:rFonts w:eastAsia="Calibri"/>
      <w:b/>
      <w:bCs/>
    </w:rPr>
  </w:style>
  <w:style w:type="paragraph" w:styleId="1205" w:customStyle="1">
    <w:name w:val="Заголовок_1"/>
    <w:basedOn w:val="960"/>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06" w:customStyle="1">
    <w:name w:val="Пункт_3"/>
    <w:basedOn w:val="960"/>
    <w:uiPriority w:val="99"/>
    <w:pPr>
      <w:numPr>
        <w:ilvl w:val="2"/>
        <w:numId w:val="24"/>
      </w:numPr>
      <w:jc w:val="both"/>
    </w:pPr>
    <w:rPr>
      <w:sz w:val="28"/>
      <w:szCs w:val="28"/>
    </w:rPr>
  </w:style>
  <w:style w:type="paragraph" w:styleId="1207" w:customStyle="1">
    <w:name w:val="Пункт_2"/>
    <w:basedOn w:val="960"/>
    <w:uiPriority w:val="99"/>
    <w:pPr>
      <w:numPr>
        <w:ilvl w:val="1"/>
        <w:numId w:val="24"/>
      </w:numPr>
      <w:jc w:val="both"/>
    </w:pPr>
    <w:rPr>
      <w:sz w:val="28"/>
      <w:szCs w:val="20"/>
    </w:rPr>
  </w:style>
  <w:style w:type="paragraph" w:styleId="1208" w:customStyle="1">
    <w:name w:val="Пункт_5"/>
    <w:basedOn w:val="1206"/>
    <w:uiPriority w:val="99"/>
    <w:pPr>
      <w:numPr>
        <w:ilvl w:val="4"/>
      </w:numPr>
    </w:pPr>
  </w:style>
  <w:style w:type="paragraph" w:styleId="1209" w:customStyle="1">
    <w:name w:val="Пункт"/>
    <w:basedOn w:val="960"/>
    <w:link w:val="1210"/>
    <w:uiPriority w:val="99"/>
    <w:pPr>
      <w:numPr>
        <w:ilvl w:val="2"/>
        <w:numId w:val="4"/>
      </w:numPr>
      <w:jc w:val="both"/>
      <w:spacing w:line="360" w:lineRule="auto"/>
    </w:pPr>
    <w:rPr>
      <w:sz w:val="22"/>
      <w:szCs w:val="20"/>
    </w:rPr>
  </w:style>
  <w:style w:type="character" w:styleId="1210" w:customStyle="1">
    <w:name w:val="Пункт Знак1"/>
    <w:link w:val="1209"/>
    <w:uiPriority w:val="99"/>
    <w:rPr>
      <w:sz w:val="22"/>
    </w:rPr>
  </w:style>
  <w:style w:type="paragraph" w:styleId="1211" w:customStyle="1">
    <w:name w:val="_Маркер (номер) - с заголовком"/>
    <w:basedOn w:val="960"/>
    <w:pPr>
      <w:spacing w:before="240" w:after="60" w:line="360" w:lineRule="auto"/>
    </w:pPr>
    <w:rPr>
      <w:b/>
      <w:bCs/>
      <w:szCs w:val="20"/>
    </w:rPr>
  </w:style>
  <w:style w:type="paragraph" w:styleId="1212" w:customStyle="1">
    <w:name w:val="Style23"/>
    <w:basedOn w:val="960"/>
    <w:pPr>
      <w:ind w:firstLine="706"/>
      <w:jc w:val="both"/>
      <w:spacing w:line="338" w:lineRule="exact"/>
      <w:widowControl w:val="off"/>
    </w:pPr>
  </w:style>
  <w:style w:type="paragraph" w:styleId="1213" w:customStyle="1">
    <w:name w:val="Пункт2"/>
    <w:basedOn w:val="1209"/>
    <w:pPr>
      <w:numPr>
        <w:ilvl w:val="0"/>
        <w:numId w:val="0"/>
      </w:numPr>
      <w:ind w:left="1320" w:hanging="720"/>
      <w:jc w:val="left"/>
      <w:keepNext/>
      <w:spacing w:before="240" w:after="120" w:line="240" w:lineRule="auto"/>
      <w:outlineLvl w:val="2"/>
    </w:pPr>
    <w:rPr>
      <w:b/>
      <w:sz w:val="26"/>
      <w:szCs w:val="26"/>
    </w:rPr>
  </w:style>
  <w:style w:type="character" w:styleId="1214" w:customStyle="1">
    <w:name w:val="Подподпункт Знак"/>
    <w:link w:val="1195"/>
    <w:rPr>
      <w:sz w:val="22"/>
    </w:rPr>
  </w:style>
  <w:style w:type="paragraph" w:styleId="1215" w:customStyle="1">
    <w:name w:val="Table_text"/>
    <w:basedOn w:val="960"/>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159</cp:revision>
  <dcterms:created xsi:type="dcterms:W3CDTF">2026-03-03T12:45:00Z</dcterms:created>
  <dcterms:modified xsi:type="dcterms:W3CDTF">2026-07-10T08:32:42Z</dcterms:modified>
  <cp:version>983040</cp:version>
</cp:coreProperties>
</file>